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F-2218/2021 vom 17. Mai 2021</w:t>
      </w:r>
    </w:p>
    <w:p>
      <w:r>
        <w:t>Bundesverwaltungsgericht, 2021-05-17, DE</w:t>
      </w:r>
    </w:p>
    <w:p>
      <w:r>
        <w:rPr>
          <w:b/>
        </w:rPr>
        <w:t xml:space="preserve">Quelle: </w:t>
      </w:r>
      <w:r>
        <w:t>https://mcp.opencaselaw.ch/entscheid/bvger_F-2218_2021</w:t>
      </w:r>
    </w:p>
    <w:p>
      <w:r>
        <w:t>FR: TAF F-2218/2021 du 17 mai 2021</w:t>
      </w:r>
    </w:p>
    <w:p>
      <w:r>
        <w:t>IT: TAF F-2218/2021 del 17 maggio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zuständigen Staates wird eingeleitet, sobald in einem Mitgliedstaat erstmals ein Asylantrag gestellt wird (Art. 20 Abs. 1 Dublin-III-VO). Im Rahmen des Wiederaufnahmeverfahrens (Art. 23 -25 Dublin-III-VO) findet grundsätzlich keine (neue) Zuständigkeitsprüfung nach Kapitel III Dublin-III-VO mehr statt (vgl. zum Ganzen BVGE 2017 VI/5 E. 6.2 und 8.2.1).</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3.4</w:t>
      </w:r>
    </w:p>
    <w:p>
      <w:r>
        <w:t>Der Beschwerdeführer bestreitet nicht, in Schweden ein Asylgesuch gestellt zu haben. Die schwedischen Behörden hiessen das Gesuch der Vorinstanz um Wiederaufnahme gestützt auf Art. 18 Abs. 1 Bst. d Dublin-III-VO am 29. April 2021 ausdrücklich gut. Die Zuständigkeit Schwedens steht somit grundsätzlich fest.</w:t>
      </w:r>
    </w:p>
    <w:p>
      <w:r>
        <w:rPr>
          <w:b/>
        </w:rPr>
        <w:t>E. 4</w:t>
      </w:r>
    </w:p>
    <w:p>
      <w:r>
        <w:t>Die Vorinstanz stellte in ihrer Verfügung vom 30. April 2021 zutreffend fest, dass es keine wesentlichen Gründe für die Annahme gebe, das Asylverfahren und die Aufnahmebedingungen für asylsuchende Personen in Schweden hätten Schwachstellen im Sinne von Art. 3 Abs. 2 Dublin-III-VO, die eine Gefahr einer unmenschlichen oder entwürdigenden Behandlung im Sinne des Artikels 4 der EU-Grundrechtecharta und Art. 3 EMRK mit sich bringen würden.</w:t>
      </w:r>
    </w:p>
    <w:p>
      <w:r>
        <w:rPr>
          <w:b/>
        </w:rPr>
        <w:t>E. 5</w:t>
      </w:r>
    </w:p>
    <w:p>
      <w:r>
        <w:t>Der Beschwerdeführer beantragt dagegen in seiner Rechtsmitteleingabe, vorliegend sei zwingend das Selbsteintrittsrecht gemäss Art. 17 Abs. 1 erster Satz Dublin-III-VO, konkretisiert in Art. 29a Abs. 3 AsylV 1, auszuüben (vgl. E. 3.3).</w:t>
      </w:r>
    </w:p>
    <w:p>
      <w:r>
        <w:rPr>
          <w:b/>
        </w:rPr>
        <w:t>E. 5.1</w:t>
      </w:r>
    </w:p>
    <w:p>
      <w:r>
        <w:t>Zur Begründung macht er im Wesentlichen geltend, er habe seine Partnerin am [...] geheiratet. Sie hätten zudem eine Tochter, welche am [...] zur Welt gekommen sei. Seine Partnerin sei in der Schweiz als Flüchtling anerkannt und verfüge über eine Aufenthaltsbewilligung. Sie gelte somit unbestrittenermassen als Begünstigte internationalen Schutzes im Sinne von Art. 2 Bst. f Dublin-III-VO bzw. gemäss bundesgerichtlicher Rechtsprechung. Er sei einzig wegen seiner «Ehefrau» und der gemeinsamen Tochter in die Schweiz gereist. Er besuche seine Familie so oft wie es ihm unter den gegebenen Umständen im beschleunigten Asylverfahren möglich sei. Es sei ihm bis anhin trotz eines entsprechenden Antrags nicht erlaubt worden, ganz in privater Unterbringung bei seiner Ehefrau und der Tochter zu leben. Dies sei der grösste Wunsch der kleinen Familie. Es liege ihm viel daran, Anteil am Leben seiner Familie zu nehmen (Beschwerde II Pkt. 3.2 S. 5).</w:t>
      </w:r>
    </w:p>
    <w:p>
      <w:r>
        <w:rPr>
          <w:b/>
        </w:rPr>
        <w:t>E. 5.2</w:t>
      </w:r>
    </w:p>
    <w:p>
      <w:r>
        <w:t>Wie sich der Beschwerde ebenfalls entnehmen lässt, habe der Beschwerdeführer seine Partnerin zu Beginn des Jahres 2019 kennengelernt. Sie seien aufgrund ihrer unterschiedlichen Wohnorte zunächst gezwungen gewesen, eine Beziehung auf Distanz zu führen. Dank dem Internet seien sie in regem Kontakt gestanden. Die am [...] erfolgte Trauung sei telefonisch durchgeführt worden; es habe eine Heiratszeremonie nach religiösem Brauch stattgefunden. Per Telefon habe man die Zustimmung eines Onkels von ihm und eines Onkels der Partnerin eingeholt, sodass der Imam die Vermählung habe durchführen können. Er (der Beschwerdeführer) und seine Partnerin hätten anschliessend einige Tage gemeinsam in Italien verbracht (Beschwerde II Pkt. 1.1 S. 3). Der Beschwerde beigelegt war ein «Marriage Certificate» samt englischer Übersetzung (Beschwerdebeilage 6).</w:t>
      </w:r>
    </w:p>
    <w:p>
      <w:r>
        <w:rPr>
          <w:b/>
        </w:rPr>
        <w:t>E. 6.1</w:t>
      </w:r>
    </w:p>
    <w:p>
      <w:r>
        <w:t>Das in Art. 8 Abs. 1 EMRK verankerte Recht auf Achtung des Familienlebens könnte berührt sein, wenn die Überstellung des Beschwerdeführers nach Schweden eine nahe, echte und tatsächlich gelebte familiäre Beziehung zu einer in der Schweiz gefestigt anwesenheitsberechtigten Person beeinträchtigen würde, ohne dass es dieser möglich beziehungsweise zumutbar wäre, ihr Familienleben andernorts zu pflegen (BGE 144 II 1 E. 6.1 m.H.; 139 I 330 E. 2.1 und E. 2.3).</w:t>
      </w:r>
    </w:p>
    <w:p>
      <w:r>
        <w:rPr>
          <w:b/>
        </w:rPr>
        <w:t>E. 6.2</w:t>
      </w:r>
    </w:p>
    <w:p>
      <w:r>
        <w:t>Zum geschützten Familienkreis gehört in erster Linie die Kernfamilie, das heisst die Gemeinschaft der Ehegatten mit ihren minderjährigen Kindern (BGE 144 II 1 E. 6.1; 135 I 143 E. 1.3.2). Neben rechtlich begründeten familiären Verhältnissen beziehungsweise gültig geschlossenen Ehen fallen aber auch faktische Beziehungen in den Schutzbereich von Art. 8 EMRK, sofern sie genügend nahe sowie echt sind und tatsächlich gelebt werden. Die partnerschaftliche Beziehung muss dabei seit Langem eheähnlich gelebt werden und bezüglich Art und Stabilität in ihrer Substanz einer Ehe gleichkommen. Als wesentliche Faktoren für eine tatsächlich gelebte Beziehung sind der gemeinsame Haushalt, die finanzielle Verflochtenheit, die Länge und Stabilität der Beziehung, sowie das Interesse und die Bindung der Partner aneinander, etwa durch Kinder oder andere Umstände, wie beispielsweise die Übernahme von wechselseitiger Verantwortung, zu berücksichtigen (BGE 144 II 1 E. 6.1; 135 I 143 E. 3.1; Urteil des BGer 2C_880/2017 vom 3. Mai 2018 E. 3.1;Urteil des BVGer F-2645/2018 vom 25. November 2019 E. 5.4.1).</w:t>
      </w:r>
    </w:p>
    <w:p>
      <w:r>
        <w:rPr>
          <w:b/>
        </w:rPr>
        <w:t>E. 6.2.1</w:t>
      </w:r>
    </w:p>
    <w:p>
      <w:r>
        <w:t>Der Beschwerdeführer beruft sich auf eine Ehe mit seiner hierzulande als Flüchtling anerkannten Partnerin (Inhaberin einer Aufenthaltsbewilligung [SEM act. 6]) und legte ein entsprechendes «Marriage Certificate» inklusive englischer Übersetzung zu den Akten. Der Beweiswert des eingereichten Dokuments ist jedoch als tief zu qualifizieren, zumal es lediglich in Kopieform eingereicht wurde. Zudem erklärte er noch anlässlich des Dublin-Gesprächs vom 1. April 2021, es gebe keine Dokumente zur religiösen Trauung vom [...], da diese lediglich telefonisch durchgeführt worden sei. Umso mehr erstaunt es, dass er mit Beschwerde ein «Marriage Certificate», datiert vom 6. Dezember 2020, einreichte (Beschwerdebeilage 6).</w:t>
      </w:r>
    </w:p>
    <w:p>
      <w:r>
        <w:rPr>
          <w:b/>
        </w:rPr>
        <w:t>E. 6.2.2</w:t>
      </w:r>
    </w:p>
    <w:p>
      <w:r>
        <w:t>Unabhängig davon liegt vorliegend auch keine rechtsgültig geschlossene Ehe vor. Gemäss schweizerischem Recht kann die Ehe in der Schweiz nur vor dem Zivilstandesbeamten gültig geschlossen werden (Art. 97a Abs. 1 ZGB; vgl. Urteil des BVGer D-6209/2014 vom 30. Oktober 2014 S. 8). Weiter ist anzunehmen, dass die am [...] durchgeführte Zeremonie auch somalischem Recht widerspricht. Der Beschwerdeführer führt aus, er und seine Verlobten seien per Telefon durch den Imam vermählt worden; per Telefon hätten sie auch die Zustimmung zweier Onkel eingeholt (vgl. SEM act. 13; Beschwerde II Pkt. 1.1 S. 3). Dass sie sich dazu, da nicht persönlich anwesend, einer Stellvertretung bedient hätten, wird weder geltend gemacht noch geht es aus dem eingereichten «Marriage Certificate» hervor. Damit liegt auch keine Eheschliessung durch Stellvertretung (sog. Handschuhehe) vor, welche in der Schweiz unter bestimmten Voraussetzungen einer Anerkennung zugänglich ist (vgl. dazu bspw. Urteil des BVGer F-5570/2020 vom 27. November 2020 Sachverhalt Bst. E und E. 6.1; zur Handschuhehe im somalischen Recht siehe auch Beschluss 8 L 198/18.A des Verwaltungsgerichts Münster vom 28. Februar 2018 Rn. 8). Vorliegend ist nicht von einer Ehe im Rechtsinne auszugehen, die in den Anwendungsbereich von Art. 8 EMRK fällt.</w:t>
      </w:r>
    </w:p>
    <w:p>
      <w:r>
        <w:rPr>
          <w:b/>
        </w:rPr>
        <w:t>E. 6.2.3</w:t>
      </w:r>
    </w:p>
    <w:p>
      <w:r>
        <w:t>Die Beziehung des Beschwerdeführers und seiner Verlobten kann zudem nicht als eheähnliche Beziehung eingestuft werden, zumal sich das Paar seit Anfang 2019 kennt und sich der Beschwerdeführer erst seit dem 25. März 2021 in der Schweiz aufhält. Davor hätten sie eine Beziehung auf Distanz geführt und den Kontakt per Internet gepflegt. Sie hätten lediglich einige Tage in Italien zusammen verbracht. Unklar bleibt zudem, wieso der Beschwerdeführer noch am 9. Januar 2020 ein Asylgesuch in Italien einreichte (SEM act. 7), fand die «Hochzeitszeremonie» gemäss seinen Angaben doch bereits am [...] statt und er dürfte über die damalige Schwangerschaft seiner Partnerin informiert gewesen sein (vgl. Beschwerde II Pkt. 1.1 S. 3).</w:t>
      </w:r>
    </w:p>
    <w:p>
      <w:r>
        <w:rPr>
          <w:b/>
        </w:rPr>
        <w:t>E. 6.2.4</w:t>
      </w:r>
    </w:p>
    <w:p>
      <w:r>
        <w:t>Weiter steht das Verwandtschaftsverhältnis des Beschwerdeführers zur Tochter seiner Partnerin rechtlich nicht fest. Zwar wird geltend gemacht, er stehe im Kontakt mit dem Zivilstandesamt Zürich und habe bereits einen Termin gehabt, um die Vaterschaftsanerkennung zu beantragen, allerdings ist aktuell offen, ob die Anerkennung auch tatsächlich erfolgen wird. Weiter stellt sich in diesem Zusammenhang die Frage, weshalb der Beschwerdeführer das entsprechende Verfahren nicht schon viel früher eingeleitet hat, zumal die Kindsanerkennung bereits vor der Geburt des Kindes erfolgen kann (vgl. Art. 11 Abs. 2 der Zivilstandverordnung vom 28. April 2004 [ZStV, SR 211.112.2]).</w:t>
      </w:r>
    </w:p>
    <w:p>
      <w:r>
        <w:rPr>
          <w:b/>
        </w:rPr>
        <w:t>E. 6.3</w:t>
      </w:r>
    </w:p>
    <w:p>
      <w:r>
        <w:t>Zusammenfassend ist nicht erstellt, dass der Beschwerdeführer eine stabile und enge Beziehung zu seiner Partnerin unterhält, die in den Schutzbereich von Art. 8 EMRK fallen würde und daher die Anwendung der Selbsteintrittsklausel rechtfertigen würde. Auch kann bei der heutigen Aktenlage nicht von einem rechtlich oder biologisch begründeten Vaterschaftsverhältnis ausgegangen werden. Im Übrigen erfordert weder das Ehevorbereitungsverfahren noch die Vaterschaftsanerkennung die Anwesenheit des Beschwerdeführers in der Schweiz und lässt sich auch von Schweden aus organisieren. In diesem Sinne ist die in der Beschwerde beantragte Rückweisung der Sache zur weiteren Abklärungen an die Vorinstanz nicht angezeigt, zumal das SEM in seiner Verfügung vom 30. April 2021 die Beziehung des Beschwerdeführers zu seiner Partnerin wie auch zum Kind seiner Partnerin (auch unter dem Aspekt des Kindswohls) in genügender Weise gewürdigt hat (S. 4 ebenda) und sich den Schreiben der Rechtsvertreterin vom 30. April 2021 (SEM act. 32) bzw. 3. Mai 2021 (SEM act. 33) diesbezüglich keine wesentlichen neuen Erkenntnisse mehr entnehmen liessen. Aus der angefochtenen Verfügung geht zudem in hinreichendem Mass hervor, von welchen Motiven sich die Vorinstanz bei ihrem Entscheid leiten liess, weshalb auch die Rüge einer Verletzung der Begründungspflicht zurückzuweisen ist.</w:t>
      </w:r>
    </w:p>
    <w:p>
      <w:r>
        <w:rPr>
          <w:b/>
        </w:rPr>
        <w:t>E. 6.4</w:t>
      </w:r>
    </w:p>
    <w:p>
      <w:r>
        <w:t>Schliesslich hat der Beschwerdeführer keine konkreten Hinweise für die Annahme dargetan, Schweden würde ihm dauerhaft die ihm gemäss Aufnahmerichtlinie zustehenden minimalen Lebensbedingungen vorenthalten. Sein Gesundheitszustand - gemäss ärztlichem Kurzbericht vom 8. April 2021 wurde eine Skoliose und eine nicht näher bezeichnete Herzkrankheit diagnostiziert (SEM act. 22); weiter leide er nach eigenen Aussagen bei Stress unter Kopfschmerzen; manchmal sei er erschöpft und habe einen Druck auf dem Herzen sowie Mühe, Luft zu bekommen (SEM act. 13) - steht einer Überstellung nach Schweden nicht entgegen.</w:t>
      </w:r>
    </w:p>
    <w:p>
      <w:r>
        <w:rPr>
          <w:b/>
        </w:rPr>
        <w:t>E. 6.5</w:t>
      </w:r>
    </w:p>
    <w:p>
      <w:r>
        <w:t>Nach dem Gesagten besteht kein Grund für eine Anwendung der Ermessensklauseln von Art. 17 Dublin-III-VO. Somit bleibt Schweden der für die Behandlung des Asylgesuchs des Beschwerdeführers zuständige Mitgliedstaat gemäss Dublin-III-VO. Schweden ist verpflichtet, das Asylverfahren gemäss Art. 23, 24, 25 und 29 wieder aufzunehmen.</w:t>
      </w:r>
    </w:p>
    <w:p>
      <w:r>
        <w:rPr>
          <w:b/>
        </w:rPr>
        <w:t>E. 7</w:t>
      </w:r>
    </w:p>
    <w:p>
      <w:r>
        <w:t>Die Vorinstanz ist nach dem Gesagten zu Recht und - entgegen den beschwerdeweisen Ausführungen - ohne Ermessensfehler auf das Asylgesuch des Beschwerdeführers nicht eingetreten und hat seine Wegweisung verfügt (vgl. Art. 31a Abs. 1 Bst. b und Art. 44 AsylG). Die Beschwerde ist folglich abzuweisen.</w:t>
      </w:r>
    </w:p>
    <w:p>
      <w:r>
        <w:rPr>
          <w:b/>
        </w:rPr>
        <w:t>E. 8.1</w:t>
      </w:r>
    </w:p>
    <w:p>
      <w:r>
        <w:t>Mit dem vorliegenden Urteil fällt der am 12. Mai 2021 angeordnete Vollzugsstopp dahin. Das Gesuch um Erteilung der aufschiebenden Wirkung der Beschwerde ist gegenstandslos geworden.</w:t>
      </w:r>
    </w:p>
    <w:p>
      <w:r>
        <w:rPr>
          <w:b/>
        </w:rPr>
        <w:t>E. 8.2</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