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F-21/2022 vom 6. Januar 2022</w:t>
      </w:r>
    </w:p>
    <w:p>
      <w:r>
        <w:t>Bundesverwaltungsgericht, 2022-01-06, DE</w:t>
      </w:r>
    </w:p>
    <w:p>
      <w:r>
        <w:rPr>
          <w:b/>
        </w:rPr>
        <w:t xml:space="preserve">Quelle: </w:t>
      </w:r>
      <w:r>
        <w:t>https://mcp.opencaselaw.ch/entscheid/bvger_F-21_2022</w:t>
      </w:r>
    </w:p>
    <w:p>
      <w:r>
        <w:t>FR: TAF F-21/2022 du 6 janvier 2022</w:t>
      </w:r>
    </w:p>
    <w:p>
      <w:r>
        <w:t>IT: TAF F-21/2022 del 6 gennaio 2022</w:t>
      </w:r>
    </w:p>
    <w:p>
      <w:pPr>
        <w:pStyle w:val="Heading2"/>
      </w:pPr>
      <w:r>
        <w:t>Regeste</w:t>
      </w:r>
    </w:p>
    <w:p>
      <w:r>
        <w:t>Nichteintreten auf Asylgesuch und Wegweisung (Dublin-Verfahren)</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w:t>
      </w:r>
    </w:p>
    <w:p>
      <w:r>
        <w:t>F-21/2022 Seite 4 unvollständige Feststellung des rechtserheblichen Sachverhalts gerügt werden (Art. 106 Abs. 1 AsylG).</w:t>
      </w:r>
    </w:p>
    <w:p>
      <w:r>
        <w:rPr>
          <w:b/>
        </w:rPr>
        <w:t>E. 2.2</w:t>
      </w:r>
    </w:p>
    <w:p>
      <w:r>
        <w:t>Die vorliegende Beschwerde erweist sich als offensichtlich unbegrün- det, weshalb sie im Verfahren einzelrichterlicher Zuständigkeit mit Zustim- mung eines zweiten Richters beziehungsweise einer zweiten Richterin (Art. 111 Bst. e AsylG), ohne Durchführung eines Schriftenwechsels und mit summarischer Begründung, zu behandeln ist (Art. 111a Abs. 1 und 2 AsylG).</w:t>
      </w:r>
    </w:p>
    <w:p>
      <w:r>
        <w:rPr>
          <w:b/>
        </w:rPr>
        <w:t>E. 3</w:t>
      </w:r>
    </w:p>
    <w:p>
      <w:r>
        <w:t>Vorweg ist festzuhalten, dass der Beschwerdeführer die mit einem Even- tualbegehren auf Rückweisung verbundene Rüge betreffend Verletzung des rechtlichen Gehörs durch die Vorinstanz nicht näher begründet. Sie ist auch anhand der vorinstanzlichen Akten nicht nachzuvollziehen. Es be- steht deshalb kein Anlass für eine Rückweisung der Sache an die Vorinstanz aus diesem Grund.</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Besitzt der Antragsteller ein gültiges Visum, so ist der Mitgliedstaat, der das Visum erteilt hat, für die Prüfung des Antrags auf internationalen Schutz zuständig (Art. 12 Abs. 2 erster Teilsatz Dublin-III-VO). Für die Prü- fung dieses Kriteriums ist der Zeitpunkt massgeblich, zu dem der Antrag- steller seinen Antrag auf internationalen Schutz zum ersten Mal in einem Mitgliedstaat stellt (vgl. Art. 7 Abs. 2 Dublin-III-VO).</w:t>
      </w:r>
    </w:p>
    <w:p>
      <w:r>
        <w:t>F-21/2022 Seite 5 Gemäss Abgleich mit dem CS-VIS hatte Spanien dem Beschwerdeführer ein Schengen-Visum ausgestellt, welches vom 2. Oktober 2021 bis am 30. Dezember 2021 gültig war. Er verfügte somit im Zeitpunkt der ersten Antragstellung am 13. November 2021 über ein gültiges Visum. Zudem stimmten die spanischen Behörden dem Übernahmeersuchen der Vor- instanz gestützt auf Art. 12 Abs. 2 Dublin-III-VO fristgerecht zu. Die grund- sätzliche Zuständigkeit Spaniens ist somit gegeben und wird vom Be- schwerdeführer nicht bestritten.</w:t>
      </w:r>
    </w:p>
    <w:p>
      <w:r>
        <w:rPr>
          <w:b/>
        </w:rPr>
        <w:t>E. 4.4</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 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5.1</w:t>
      </w:r>
    </w:p>
    <w:p>
      <w:r>
        <w:t>Der Beschwerdeführer macht im Wesentlichen geltend, es sei von sys- temischen Mängeln im spanischen Asylverfahren und Aufnahmesystem auszugehen.</w:t>
      </w:r>
    </w:p>
    <w:p>
      <w:r>
        <w:t>F-21/2022 Seite 6</w:t>
      </w:r>
    </w:p>
    <w:p>
      <w:r>
        <w:rPr>
          <w:b/>
        </w:rPr>
        <w:t>E. 5.2</w:t>
      </w:r>
    </w:p>
    <w:p>
      <w:r>
        <w:t>Gemäss ständiger Rechtsprechung des Bundesverwaltungsgerichts liegen keine Gründe für die Annahme vor, das Asylverfahren und die Auf- nahmebedingungen für Antragstellende in Spanien wiesen systemische Schwachstellen im Sinne von Art. 3 Abs. 2 Dublin-III-VO auf (vgl. u.a. Ur- teile des BVGer F-2131/2021 vom 17. Mai 2021 E. 4.2 und F-1437/2021 vom 7. April 2021 4.2 je m.w.H.). Die unter Verweis auf verschiedene Zei- tungsartikel bzw. Lageberichte allgemein gehaltenen Behauptungen, wo- nach die Lebensbedingungen für Asylsuchende in Spanien ungenügend seien und sich die dortige Flüchtlingssituation seit der aktuellen Corona- Pandemie noch mehr zugespitzt habe, genügen nicht, um die Vermutung umzustossen, dass Spanien seinen völkerrechtlichen Verpflichtungen nachkommt. Unter diesen Umständen ist die Anwendung von Art. 3 Abs. 2 Dublin-III-VO nicht gerechtfertigt</w:t>
      </w:r>
    </w:p>
    <w:p>
      <w:r>
        <w:rPr>
          <w:b/>
        </w:rPr>
        <w:t>E. 5.3</w:t>
      </w:r>
    </w:p>
    <w:p>
      <w:r>
        <w:t>Die Vorinstanz hat sodann das Selbsteintrittsrecht im Sinne von Art. 17 Abs. 1 Dublin-III-VO sowie Art. 29a Abs. 3 AsylV 1 zu Recht nicht ausgeübt: Der Beschwerdeführer hat kein konkretes und ernsthaftes Risiko dargetan, dass die spanischen Behörden in seinem Fall ihren völkerrechtlichen Ver- pflichtungen nicht nachkommen würden. Die vom Beschwerdeführer ge- äusserte Vermutung, er könnte angesichts des überlasteten spanischen Asylsystems und der Mängel in den Unterbringungsstrukturen – im Hinblick auf das Ansteckungsrisiko infolge der Corona-Pandemie – unter gesund- heitsgefährdenden Bedingungen inhaftiert werden, erweist sich als rein spekulativ. Eine in diesem Zusammenhang vom Beschwerdeführer bean- tragte Rückweisung der Sache an die Vorinstanz, damit diese individuelle Zusicherungen bezüglich seiner Unterbringung in Spanien einhole, ist nicht angezeigt. Nicht geeignet ist weiter auch das abstrakte Vorbringen, Asyl- suchende würden in Spanien immer wieder Opfer von rassistischen An- feindungen durch die Bevölkerung und Diskriminierungen durch die Poli- zei, wobei er als Asylsuchender deutlich weniger Rechte als spanische Bür- ger habe und umso hilfloser gegenüber staatlichen Missbräuchen er- scheine. Bei Spanien handelt es sich um einen Rechtsstaat mit funktionie- rendem Justizsystem. Das Land verfügt zudem über eine Polizeibehörde, die sowohl als schutzwillig als auch als schutzfähig gilt (vgl. dazu etwa Ur- teil des BVGer F-22/2021 vom 11. Januar 2021 E. 4.2).</w:t>
      </w:r>
    </w:p>
    <w:p>
      <w:r>
        <w:rPr>
          <w:b/>
        </w:rPr>
        <w:t>E. 5.4</w:t>
      </w:r>
    </w:p>
    <w:p>
      <w:r>
        <w:t>Bezüglich seiner gesundheitlichen Probleme ist anzumerken, dass sie nicht von einer derartigen Schwere sind, dass aus humanitären Gründen von einer Überstellung nach Spanien abgesehen werden müsste. Gemäss Konsultationsbericht der MedZentrum AG vom 23. Dezember 2021 wurden</w:t>
      </w:r>
    </w:p>
    <w:p>
      <w:r>
        <w:t>F-21/2022 Seite 7 beim Beschwerdeführer eine posttraumatische Belastungsstörung, Schlaf- störungen und Alpträume sowie Hautprobleme diagnostiziert. Von weiteren Abklärungen beziehungsweise einer Überweisung an einen Spezialisten wurde jedoch abgesehen; ihm wurden verschiedene Medikamente verord- net. Spanien verfügt über eine ausreichende medizinische Infrastruktur, welche der Beschwerdeführer in einem künftigen Bedarfsfall in Anspruch nehmen kann. Ein Selbsteintritt aus humanitären Gründen (Art. 17 Abs. 1 Dublin-III-VO i.V.m. Art. 29a Abs. 3 AsylV 1) ist bei dieser Sachlage nicht angezeigt. Aus denselben Gründen ist auch das in der Beschwerdebegrün- dung vorgebrachte Eventualbegehren, die Vorinstanz sei anzuweisen, sei- nen Gesundheitszustand richtig zu untersuchen und eine Neubeurteilung vorzunehmen, abzuweisen.</w:t>
      </w:r>
    </w:p>
    <w:p>
      <w:r>
        <w:rPr>
          <w:b/>
        </w:rPr>
        <w:t>E. 6</w:t>
      </w:r>
    </w:p>
    <w:p>
      <w:r>
        <w:t>Nach dem Gesagten ist die Beschwerde abzuweisen. Mit dem vorliegen- den Urteil fällt der am 4. Januar 2021 angeordnete Vollzugsstopp dahin. Das Gesuch um Erteilung der aufschiebenden Wirkung ist gegenstandslos geworden.</w:t>
      </w:r>
    </w:p>
    <w:p>
      <w:r>
        <w:rPr>
          <w:b/>
        </w:rPr>
        <w:t>E. 7.1</w:t>
      </w:r>
    </w:p>
    <w:p>
      <w:r>
        <w:t>Die gestellten Begehren erweisen sich als aussichtslos, weshalb das Gesuch um Gewährung der unentgeltlichen Prozessführung ungeachtet ei- ner allfälligen prozessualen Bedürftigkeit abzuweisen ist (Art. 65 Abs. 1 VwVG).</w:t>
      </w:r>
    </w:p>
    <w:p>
      <w:r>
        <w:rPr>
          <w:b/>
        </w:rPr>
        <w:t>E. 7.2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F-21/2022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