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F-219/2017 vom 3. Mai 2018</w:t>
      </w:r>
    </w:p>
    <w:p>
      <w:r>
        <w:t>Bundesverwaltungsgericht, 2018-05-03, FR</w:t>
      </w:r>
    </w:p>
    <w:p>
      <w:r>
        <w:rPr>
          <w:b/>
        </w:rPr>
        <w:t xml:space="preserve">Quelle: </w:t>
      </w:r>
      <w:r>
        <w:t>https://mcp.opencaselaw.ch/entscheid/bvger_F-219_2017</w:t>
      </w:r>
    </w:p>
    <w:p>
      <w:r>
        <w:t>FR: TAF F-219/2017 du 3 mai 2018</w:t>
      </w:r>
    </w:p>
    <w:p>
      <w:r>
        <w:t>IT: TAF F-219/2017 del 3 maggio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prend en considération l'état de fait régnant au moment où il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 dans sa teneur en vigueur depuis le 1er octobre 2016).</w:t>
      </w:r>
    </w:p>
    <w:p>
      <w:r>
        <w:rPr>
          <w:b/>
        </w:rPr>
        <w:t>E. 3.3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 et al. [éd.], Ausländerrecht, 2ème éd., 2009, n° 8.80 p. 356).</w:t>
      </w:r>
    </w:p>
    <w:p>
      <w:r>
        <w:rPr>
          <w:b/>
        </w:rPr>
        <w:t>E. 3.6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En l'occurrence, l'autorité inférieure a prononcé une décision d'interdiction d'entrée d'une durée de quatre ans à l'encontre d'A._______. Elle a considéré qu'une telle mesure d'éloignement s'imposait en raison des infractions commises par le prénommé et de la mise en danger de la sécurité et de l'ordre publics qui en découlait.</w:t>
      </w:r>
    </w:p>
    <w:p>
      <w:r>
        <w:rPr>
          <w:b/>
        </w:rPr>
        <w:t>E. 4.1</w:t>
      </w:r>
    </w:p>
    <w:p>
      <w:r>
        <w:t>A titre préliminaire, le Tribunal rappelle qu'il existe deux régimes juridiques différents concernant le prononcé des interdictions d'entrée, selon que l'intéressé est ressortissant d'un Etat de l'Union européenne ou d'un Etat tiers. En l'occurrence, A._______ est un ressortissant russe, soit originaire d'un Etat tiers, de sorte que le prononcé querellé s'examine à l'aune de la LEtr, les dispositions de l'ALCP n'étant pas applicables au cas d'espèce. Or,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4.2</w:t>
      </w:r>
    </w:p>
    <w:p>
      <w:r>
        <w:t>En l'état, le Tribunal retient que le recourant a été condamné à deux reprises par les autorités pénales en Suisse pour des faits s'étant déroulés les 23 janvier 2015 et 30 mars 2016 : la première fois par ordonnance du 6 mai 2016 du Ministère public du canton de Soleure à la peine pécuniaire de 30 jours-amende (le jour-amende étant fixé à 60 francs) avec sursis pendant 2 ans, ainsi qu'à une amende de 800 francs, pour violation grave des règles de la circulation routière et la seconde fois par ordonnance du 13 juin 2016 du Ministère public du canton du Valais (Office régional du Bas-Valais) à la peine pécuniaire de 30 jours-amende (le jour-amende étant fixé à 30 francs) avec sursis pendant 2 ans, ainsi qu'à une amende de 300 francs, pour faux dans les certificats. Certes, le recourant a affirmé avoir payé toutes les amendes qui lui ont été infligées et a contesté avoir attenté à la sécurité et à l'ordre publics. Il n'en demeure pas moins que l'intéressé a reconnu avoir commis les infractions pour lesquelles il a été condamné, même s'il a tenté de les minimiser en affirmant qu'il s'agissait de simples « infractions routières » (cf. observations du 5 octobre 2017). Or, les infractions à la LCR, pour lesquelles il a été dénoncé et sanctionné par le Ministère public du canton de Soleure, entrent dans le champ d'application de l'art. 80 al. 1 let. a OASA, puisqu'elles violent gravement les prescriptions légales en matière de circulation routière. Quant à la deuxième condamnation, elle se rapporte au comportement délictueux du recourant qui s'est légitimé au moyen d'un passeport lituanien falsifié lors d'un contrôle par le corps des gardes-frontière suisses. Ce délit étant précisément sanctionné par le code pénal suisse (Art. 252 CP), il entre aussi dans le champ d'application de l'article précité.</w:t>
      </w:r>
    </w:p>
    <w:p>
      <w:r>
        <w:rPr>
          <w:b/>
        </w:rPr>
        <w:t>E. 4.3</w:t>
      </w:r>
    </w:p>
    <w:p>
      <w:r>
        <w:t>A ce stade, il s'impose donc de retenir que le recourant, par son comportement délictueux adopté à deux reprises, a indiscutablement attenté à la sécurité et à l'ordre publics en Suisse, de sorte qu'il remplit les conditions d'application de l'art. 67 al. 2 let. a LEtr. En conséquence, la mesure d'interdiction d'entrée prononcée le 11 novembre 2016 est justifiée dans son principe.</w:t>
      </w:r>
    </w:p>
    <w:p>
      <w:r>
        <w:rPr>
          <w:b/>
        </w:rPr>
        <w:t>E. 4.4</w:t>
      </w:r>
    </w:p>
    <w:p>
      <w:r>
        <w:t>Dans la mesure où l'autorité intimée a renoncé à prononcer une mesure d'éloignement d'une durée supérieure à cinq ans à l'endroit de l'intéressé, il ne s'avère pas nécessaire en l'occurrence d'examiner si ce dernier représente une menace qualifiée au sens de l'art. 67 al. 3 deuxième phrase LEtr pour l'ordre et la sécurité publics en Suisse.</w:t>
      </w:r>
    </w:p>
    <w:p>
      <w:r>
        <w:rPr>
          <w:b/>
        </w:rPr>
        <w:t>E. 5</w:t>
      </w:r>
    </w:p>
    <w:p>
      <w:r>
        <w:t>Il convient encore d'examiner si la mesure d'éloignement prise par l'autorité intimée satisfait aux principes de la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la jurisprudence citée).</w:t>
      </w:r>
    </w:p>
    <w:p>
      <w:r>
        <w:rPr>
          <w:b/>
        </w:rPr>
        <w:t>E. 5.2</w:t>
      </w:r>
    </w:p>
    <w:p>
      <w:r>
        <w:t>En l'espèce, s'agissant de l'intérêt public à l'éloignement du recourant de Suisse, le Tribunal observe que les motifs retenus à l'appui de la mesure d'éloignement prise à l'endroit du recourant ne sauraient être contestés (cf. consid. 4.1 et 4.2 supra). Les infractions contre les prescriptions en matière la loi sur la circulation routière ont été qualifiées de graves par le Ministère public du canton de Soleure (cf. consid. 4.1 supra) et peuvent mettre en danger la vie des autres usagers de la route. Quant au fait de se légitimer au moyen d'un passeport falsifié et d'induire sciemment en erreur les autorités lors d'un contrôle, un tel comportement, même s'il ne met pas en danger des biens juridiques tels que la vie, la santé, la liberté ou la propriété, constitue à l'évidence une infraction spécifiquement réprimée par le CP, qui est pénalement poursuivie du fait qu'elle met en péril la confiance que l'on accorde, dans les relations juridiques, à un document attestant l'identité d'une personne (cf. mutatis mutandis [faux dans les titres] ATF 132 IV 59 consid. 5.1). Dans ces conditions, l'intérêt public à l'éloignement d'A._______ de Suisse doit être qualifié d'important.</w:t>
      </w:r>
    </w:p>
    <w:p>
      <w:r>
        <w:rPr>
          <w:b/>
        </w:rPr>
        <w:t>E. 5.3</w:t>
      </w:r>
    </w:p>
    <w:p>
      <w:r>
        <w:t>En revanche, le Tribunal ne saurait accorder une importance prépondérante aux intérêts privés avancés par l'intéressé, soit en particulier à son souhait de pouvoir continuer à venir en Suisse rendre visite à des amis ou accompagner un compatriote lors de ses visites médicales à Genève. En effet, ces relations ne constituent pas des attaches familiales étroites avec la Suisse. Quant aux liens professionnels entretenus, selon le recourant, avec des sociétés établies en Suisse, le recourant peut poursuivre ses affaires sans que sa présence ne soit absolument nécessaire sur le territoire helvétique. Par ailleurs, il y a lieu de relever que, même en cas de levée de la mesure d'éloignement prononcée à l'endroit de l'intéressé, les prescriptions ordinaires en matière de droit des étrangers (soit notamment l'obligation de visa, voire d'une autorisation de travail) lui demeureraient opposables s'il entend venir sur le territoire helvétique rendre visite à des amis ou y mener ses affaires. Il est à noter qu'invité par le Tribunal à fournir une copie de son titre de séjour délivré par les autorités françaises compétentes ou une copie d'une attestation officielle lui permettant de séjourner en France dans l'attente du renouvellement de son titre de séjour, l'intéressé n'a produit aucun document, de sorte qu'il y a lieu de considérer que son statut administratif actuel ne lui permet pas de circuler en Suisse et dans l'Espace Schengen ou d'y mener une activité lucrative. Il est encore à noter que le titre de séjour de l'épouse du recourant (qui est de nationalité ukrainienne et titulaire d'une carte de résident de longue durée délivrée par les autorités françaises) n'est pas à lui seul déterminant pour que ce dernier puisse en tirer un droit quelconque dans le cadre de la mesure d'éloignement prononcée à son endroit. Dès lors, et au vu de ce qui précède, les intérêts privés avancés par le recourant ne sauraient être considérés comme prépondérants par rapport à l'intérêt public à son éloignement.</w:t>
      </w:r>
    </w:p>
    <w:p>
      <w:r>
        <w:rPr>
          <w:b/>
        </w:rPr>
        <w:t>E. 5.4</w:t>
      </w:r>
    </w:p>
    <w:p>
      <w:r>
        <w:t>Partant, le Tribunal arrive à la conclusion que la mesure d'éloignement prise par l'autorité inférieure le 11 novembre 2016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5.5</w:t>
      </w:r>
    </w:p>
    <w:p>
      <w:r>
        <w:t>Enfin, le Tribunal constate, au vu des développements ci-dessus, qu'il n'existe pas de raisons humanitaires ou d'autres motifs importants justifiant l'abstention ou la suspension de la mesure d'éloignement au sens de l'art. 67 al. 5 LEtr.</w:t>
      </w:r>
    </w:p>
    <w:p>
      <w:r>
        <w:rPr>
          <w:b/>
        </w:rPr>
        <w:t>E. 6</w:t>
      </w:r>
    </w:p>
    <w:p>
      <w:r>
        <w:t>Le SEM a par ailleurs ordonné l'inscription de l'interdiction d'entrée dans le SIS. En raison de ce signalement, il est interdit au recourant de pénétrer dans l'Espace Schengen jusqu'au 10 novembre 2020.</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6.2</w:t>
      </w:r>
    </w:p>
    <w:p>
      <w:r>
        <w:t>Compte tenu des infractions pénales retenues à l'encontre de l'intéressé,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F-530/2017 du 1er décembre 2017 consid. 5.4 et les réf. cit.). Il est encore à noter que, comme relevé ci-avant (consid. 5.3), le recourant n'a pas été en mesure de démontrer qu'il est titulaire d'un titre de séjour délivré par les autorités françaises compétentes ou au bénéfice d'une attestation officielle lui permettant de séjourner en France dans l'attente du renouvellement de son titre de séjour, de sorte que son statut administratif en ce pays ne s'oppose pas à son inscription dans le SIS. S'il devait être à l'avenir en possession d'un tel titre de séjour valable, il lui incomberait à ce moment-là d'intervenir auprès des autorités compétentes afin d'obtenir la levée de son inscription dans le SIS.</w:t>
      </w:r>
    </w:p>
    <w:p>
      <w:r>
        <w:rPr>
          <w:b/>
        </w:rPr>
        <w:t>E. 7</w:t>
      </w:r>
    </w:p>
    <w:p>
      <w:r>
        <w:t>Au vu de ce qui précède, le Tribunal de céans considère que l'autorité inférieure, en rendant sa décision du 11 novembre 2016, n'a ni violé le droit fédéral, ni constaté des faits pertinents de manière inexacte ou incomplète ; en outre, cette décision n'est pas inopportune (art. 49 PA). En conséquence, le recours est rejeté. 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w:t>
      </w:r>
    </w:p>
    <w:p>
      <w:r>
        <w:rPr>
          <w:b/>
        </w:rPr>
        <w:t>E. 8</w:t>
      </w:r>
    </w:p>
    <w:p>
      <w:r>
        <w:t>Le recourant étant sans domicile de notification en Suisse, il y a également lieu de notifier le présent arrêt par vois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