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F-2190/2018 vom 17. Juni 2019</w:t>
      </w:r>
    </w:p>
    <w:p>
      <w:r>
        <w:t>Bundesverwaltungsgericht, 2019-06-17, FR</w:t>
      </w:r>
    </w:p>
    <w:p>
      <w:r>
        <w:rPr>
          <w:b/>
        </w:rPr>
        <w:t xml:space="preserve">Quelle: </w:t>
      </w:r>
      <w:r>
        <w:t>https://mcp.opencaselaw.ch/entscheid/bvger_F-2190_2018</w:t>
      </w:r>
    </w:p>
    <w:p>
      <w:r>
        <w:t>FR: TAF F-2190/2018 du 17 juin 2019</w:t>
      </w:r>
    </w:p>
    <w:p>
      <w:r>
        <w:t>IT: TAF F-2190/2018 del 17 giugno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SPOP a soumis sa décision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de l'autorité cantonale compétente de renouveler l'autorisation de séjour du recourant et peuvent parfaitement s'écarter de l'appréciation faite par cette autorité.</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2C_545/2017 du 8 juin 2018 consid. 4.3.1 et la jurisprudence citée).</w:t>
      </w:r>
    </w:p>
    <w:p>
      <w:r>
        <w:rPr>
          <w:b/>
        </w:rPr>
        <w:t>E. 5.2</w:t>
      </w:r>
    </w:p>
    <w:p>
      <w:r>
        <w:t>En l'espèce, à l'examen du dossier, il appert que les époux A._______ et B._______ ont conclu mariage, au Brésil, le 5 janvier 2013 et qu'ils ont fait ménage commun en Suisse dès le 28 février 2013. Les prénommés se sont séparés en juin 2015 et en date du 19 décembre 2018, le Tribunal d'arrondissement de la Broye et du Nord vaudois a prononcé leur divorce. Dans ces conditions, le recourant ne saurait de toute évidence pas invoquer l'art. 42 al. 1 LEtr, il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6.2</w:t>
      </w:r>
    </w:p>
    <w:p>
      <w:r>
        <w:t>En l'occurrence, force est de constater que la communauté conjugale des époux A._______ et B._______ a duré moins de trois ans depuis le début de la vie commune en Suisse le 28 février 2013 jusqu'à leur séparation intervenue en juin 2015. Partant, le recourant ne saurait invoquer l'art. 50 al. 1 let. a LEtr pour revendiquer le renouvellement de son autorisation de séjour en Suisse.</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7.3</w:t>
      </w:r>
    </w:p>
    <w:p>
      <w:r>
        <w:t>Une raison personnelle majeure donnant droit à l'octroi et au renouvellement d'une autorisation de séjour peut également résulter d'autres circonstances. Ainsi, les critères énumérés à l'ancien 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w:t>
      </w:r>
    </w:p>
    <w:p>
      <w:r>
        <w:rPr>
          <w:b/>
        </w:rPr>
        <w:t>E. 8.1</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8.2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8.3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8.4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8.5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8.6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9</w:t>
      </w:r>
    </w:p>
    <w:p>
      <w:r>
        <w:t>En l'espèce, le recourant, qui est père d'un enfant au bénéfice de la nationalité helvétique,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9.1</w:t>
      </w:r>
    </w:p>
    <w:p>
      <w:r>
        <w:t>S'agissant de la relation affective que le recourant entretient avec son fils, le Tribunal constate en premier lieu que la séparation des époux est intervenue en juin 2015, soit avant la naissance de C._______ en décembre 2015. Par mesures protectrices de l'union conjugale du 26 janvier 2016, le Président du Tribunal d'arrondissement de la Broye et du Nord vaudois a confié la garde de l'enfant à la mère et accordé un droit de visite au père, s'exerçant par l'intermédiaire du Point Rencontre deux fois par mois durant deux heures. Dans son jugement de divorce du 19 décembre 2018, le Tribunal d'arrondissement de la Broye et du Nord vaudois a attribué l'autorité parentale sur l'enfant C._______ à sa mère et accordé un droit de visite au père, précisant que ce droit de visite s'exercerait d'entente avec la mère, et à défaut d'entente, un dimanche sur deux durant trois heures.</w:t>
      </w:r>
    </w:p>
    <w:p>
      <w:r>
        <w:rPr>
          <w:b/>
        </w:rPr>
        <w:t>E. 9.2</w:t>
      </w:r>
    </w:p>
    <w:p>
      <w:r>
        <w:t>Compte tenu des éléments qui précèdent, force est de constater que le recourant ne bénéficie pas d'un droit de visite usuel sur son fils et que l'étendue limitée de ce droit de visite ne saurait désormais plus s'expliquer exclusivement par le jeune âge de l'enfant. Dans ce contexte, on ne saurait accorder une importance prépondérante aux allégations du recourant selon lesquelles son droit de visite pourrait être élargi à l'avenir en cas d'évolution positive de sa situation, dès lors qu'aucun élément au dossier ne permet de présager une stabilisation durable de la situation de l'intéressé en lien notamment avec sa situation professionnelle et son logement (cf. notamment le courrier du recourant du 5 avril 2019 dont il ressort que son employeur a non seulement renoncé à augmenter son taux d'activité, mais a décidé de le licencier).</w:t>
      </w:r>
    </w:p>
    <w:p>
      <w:r>
        <w:rPr>
          <w:b/>
        </w:rPr>
        <w:t>E. 9.3</w:t>
      </w:r>
    </w:p>
    <w:p>
      <w:r>
        <w:t>En outre, il n'est pas contesté que le droit de visite dont bénéficie A._______ n'a pas toujours été exercé de manière régulière et a notamment été interrompu entre mai 2017 et avril 2018, soit durant près d'une année (cf. notamment le mémoire de recours du 16 avril 2018 p. 7 et l'attestation du Point Rencontre du 18 juin 2018). A ce sujet, le recourant a exposé que cette interruption était essentiellement due au fait que suite à son séjour temporaire au Brésil pour se rendre au chevet de sa grand-mère, il avait rencontré des difficultés à faire redémarrer son droit de visite avec le Point Rencontre qui n'avait pas répondu à ses nombreuses tentatives de prise de contact. Cela étant, force est de constater que le recourant n'a fourni aucun moyen de preuve probant indiquant que durant l'interruption de son droit de visite, il aurait effectivement entrepris de sérieux efforts en vue de voir son fils. La thèse avancée par le recourant en lien avec l'absence de réponse de la part du Point Rencontre paraît au demeurant peu vraisemblable. Cela vaut d'autant plus que dans le cadre de la procédure relative au renouvellement de son autorisation de séjour, les autorités cantonales et fédérales ont régulièrement rencontré des difficultés pour obtenir des renseignements de la part du recourant et que son mandataire a par ailleurs également relevé, dans sa communication du 15 avril 2019, qu'au regard de la précarité de la situation de son mandant, il avait été compliqué de maintenir le contact et d'obtenir des réponses de sa part.</w:t>
      </w:r>
    </w:p>
    <w:p>
      <w:r>
        <w:rPr>
          <w:b/>
        </w:rPr>
        <w:t>E. 9.4</w:t>
      </w:r>
    </w:p>
    <w:p>
      <w:r>
        <w:t>Certes, il appert qu'à partir du mois d'avril 2018, le recourant a exercé son droit aux relations personnelles avec son fils plus régulièrement (cf. notamment l'attestation du Point Rencontre du 18 juin 2018). Cela étant, selon les affirmations non contestées de l'ex-épouse, l'exercice du droit de visite à tout de même connu plusieurs interruptions, lesquelles étaient dues, selon le recourant, à la relation conflictuelle entre les parents (cf. le courrier de B._______ du 1er octobre 2018 et la communication du recourant du 5 avril 2019).</w:t>
      </w:r>
    </w:p>
    <w:p>
      <w:r>
        <w:rPr>
          <w:b/>
        </w:rPr>
        <w:t>E. 9.5</w:t>
      </w:r>
    </w:p>
    <w:p>
      <w:r>
        <w:t>Eu égard à l'ensemble des éléments qui précèdent, force est de constater que le recourant ne bénéficie pas d'un droit de visite usuel sur son fils, que, pour le surplus, le droit de visite accordé n'est pas exercé de manière régulière et qu'enfin, le recourant a avancé aucun autre élément parlant en faveur de l'existence d'une relation affective particulièrement étroite entre père et fils.</w:t>
      </w:r>
    </w:p>
    <w:p>
      <w:r>
        <w:rPr>
          <w:b/>
        </w:rPr>
        <w:t>E. 9.6</w:t>
      </w:r>
    </w:p>
    <w:p>
      <w:r>
        <w:t>Quant aux liens économiques liant le recourant à son enfant, il sied de relever qu'il n'est pas contesté que l'intéressé ne s'est pas régulièrement acquitté de la pension alimentaire due en faveur de son fils (cf. notamment la communication du 5 avril 2019 p. 2, le courrier du 17 octobre 2018, le mémoire de recours p. 8 et le relevé de compte du Service de prévoyance et d'aide sociale du 6 mars 2018 qui fait état d'un montant dû de près de Fr. 4'500.-).</w:t>
      </w:r>
    </w:p>
    <w:p>
      <w:r>
        <w:rPr>
          <w:b/>
        </w:rPr>
        <w:t>E. 9.7</w:t>
      </w:r>
    </w:p>
    <w:p>
      <w:r>
        <w:t>A cet égard, A._______ a en particulier mis en avant qu'il n'avait pas été en mesure de se créer une situation professionnelle stable en raison de son statut précaire en Suisse. Certes, les exigences relatives à l'étendue de la relation que l'étranger doit entretenir avec son enfant d'un point de vue affectif et économique doivent rester dans l'ordre du possible et du raisonnable (cf. consid. 8.4 ci-avant). Cependant, compte tenu notamment de la durée du séjour du recourant en Suisse, du fait qu'il est jeune, en bonne santé, dispose de bonnes connaissances en français et a au demeurant été autorisé à travailler par l'autorité cantonale compétente, le Tribunal estime que sa situation professionnelle et financière lui est du moins partiellement imputable (dans le même sens, cf. par exemple les arrêts du TF 2C_301/2018 du 24 septembre 2018 consid. 5.2 et 2C_522/2015 du 12 mai 2016 consid. 4.4.1). Cela vaut d'autant plus que du moins à une reprise, l'intéressé a perdu son poste en raison de son comportement répréhensible. Ainsi, lorsqu'il était stagiaire auprès d'une garderie à Yverdon-les-Bains, il a fouillé à plusieurs reprises les casiers d'autres employés, en leur dérobant de l'argent (cf. l'ordonnance pénale du 19 mars 2015). De ce fait, il a perdu son emploi et fait l'objet d'une condamnation pénale pour vol.</w:t>
      </w:r>
    </w:p>
    <w:p>
      <w:r>
        <w:rPr>
          <w:b/>
        </w:rPr>
        <w:t>E. 9.8</w:t>
      </w:r>
    </w:p>
    <w:p>
      <w:r>
        <w:t>En outre, il appert que le recourant est actuellement à nouveau sans emploi (cf. le courrier du 5 avril 2019), de sorte qu'aucun élément au dossier ne permet d'inférer que sa situation pourrait prochainement connaître une évolution favorable.</w:t>
      </w:r>
    </w:p>
    <w:p>
      <w:r>
        <w:rPr>
          <w:b/>
        </w:rPr>
        <w:t>E. 9.9</w:t>
      </w:r>
    </w:p>
    <w:p>
      <w:r>
        <w:t>Dans ces conditions, la relation économique que A._______ entretient avec son fils ne saurait être qualifiée d'étroite.</w:t>
      </w:r>
    </w:p>
    <w:p>
      <w:r>
        <w:rPr>
          <w:b/>
        </w:rPr>
        <w:t>E. 9.10</w:t>
      </w:r>
    </w:p>
    <w:p>
      <w:r>
        <w:t>Enfin, le recourant ne peut pas se prévaloir d'un comportement irréprochable, dès lors qu'il a fait l'objet, le 19 mars 2015, d'une condamnation pénale à une peine pécuniaire de 45 jours-amende à Fr. 30.- ainsi qu'à une amende de Fr. 300.- pour vol. Par ailleurs, le recourant a contracté des dettes non négligeables durant son séjour sur le sol helvétique. Selon un extrait du registre des poursuites du 3 octobre 2016, l'intéressé a ainsi fait l'objet de diverses poursuites pour un montant total de Fr. 7'399.80.</w:t>
      </w:r>
    </w:p>
    <w:p>
      <w:r>
        <w:rPr>
          <w:b/>
        </w:rPr>
        <w:t>E. 9.11</w:t>
      </w:r>
    </w:p>
    <w:p>
      <w:r>
        <w:t>Compte tenu de l'ensemble des éléments qui précèdent, le Tribunal arrive à la conclusion que les conditions jurisprudentielles posées à la prolongation de l'autorisation de séjour du recourant en application de l'art. 8 CEDH en lien avec l'art. 50 LEtr (cf. consid. 8.2 supra) ne sont pas réalisées en l'occurrence.</w:t>
      </w:r>
    </w:p>
    <w:p>
      <w:r>
        <w:rPr>
          <w:b/>
        </w:rPr>
        <w:t>E. 10</w:t>
      </w:r>
    </w:p>
    <w:p>
      <w:r>
        <w:t>A ce stade, il sied encore d'examiner si le recourant peut se prévaloir d'autres raisons personnelles majeures susceptibles d'imposer la poursuite de son séjour en Suisse.</w:t>
      </w:r>
    </w:p>
    <w:p>
      <w:r>
        <w:rPr>
          <w:b/>
        </w:rPr>
        <w:t>E. 10.1</w:t>
      </w:r>
    </w:p>
    <w:p>
      <w:r>
        <w:t>A ce propos, le Tribunal relève en premier lieu que la communauté conjugale de l'intéressé n'a pas été dissoute par le décès de la conjointe et que A._______ ne se trouve par ailleurs pas dans une situation de violence conjugale. De plus, aucun élément ne permet d'inférer que le mariage aurait été conclu en violation de la libre volonté de l'un des époux.</w:t>
      </w:r>
    </w:p>
    <w:p>
      <w:r>
        <w:rPr>
          <w:b/>
        </w:rPr>
        <w:t>E. 10.2</w:t>
      </w:r>
    </w:p>
    <w:p>
      <w:r>
        <w:t>S'agissant des possibilités de réintégration de A._______ au Brésil, le Tribunal constate que le recourant a passé son enfance, son adolescence et le début de sa vie d'adulte dans son pays d'origine, où il a également effectué sa scolarité obligatoire et suivi une formation dans le domaine informatique (cf. le procès-verbal de son audition par la police du Nord vaudois en date du 16 septembre 2016, pt. 3 p. 2). En outre, le Tribunal considère que malgré la présence de sa mère et de son fils en Suisse, ainsi que du décès de sa grand-mère au Brésil, le recourant peut certainement s'appuyer sur un réseau familial ou social susceptible de faciliter sa réintégration dans sa patrie. Compte tenu des éléments qui précèdent, le Tribunal estime que la réintégration du recourant, qui est d'ailleurs jeune et en bonne santé, ne saurait être considérée comme fortement compromise, étant rappelé dans ce contexte que la question n'est pas de savoir s'il est plus facile pour la personne concernée de vivre en Suisse, mais uniquement d'examiner si, en cas de retour dans le pays d'origine, les conditions de sa réintégration seraient gravement compromises (cf. consid. 7.2 supra).</w:t>
      </w:r>
    </w:p>
    <w:p>
      <w:r>
        <w:rPr>
          <w:b/>
        </w:rPr>
        <w:t>E. 10.3</w:t>
      </w:r>
    </w:p>
    <w:p>
      <w:r>
        <w:t>Quant aux autres éléments à prendre en considération conformément à l'ancien art. 31 al. 1 OASA, le Tribunal observe que malgré la durée de son séjour en Suisse, le recourant ne s'est pas créé des liens sociaux ou professionnels à ce point profonds qu'on ne saurait plus exiger de lui qu'il retourne dans son pays d'origine. A ce sujet, il sied tout au plus de rappeler que le recourant n'a pas réussi à se créer une situation professionnelle stable, est actuellement sans emploi, a accumulé des dettes et fait l'objet d'une condamnation pénale. Compte tenu de ce qui précède, et eu égard également aux possibilités de réintégration du recourant dans son pays d'origine (cf. consid. 10.2 supra), le Tribunal estime que la situation de l'intéressé n'est pas constitutive d'un cas de rigueur au sens de l'ancien art. 31 al. 1 OASA et de la jurisprudence restrictive applicable en la matière.</w:t>
      </w:r>
    </w:p>
    <w:p>
      <w:r>
        <w:rPr>
          <w:b/>
        </w:rPr>
        <w:t>E. 11</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12</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Brésil et le dossier ne fait pas non plus apparaître que l'exécution de ce renvoi serait impossible, illicite ou inexigible au sens de l'art. 83 al. 2 à 4 LEtr.</w:t>
      </w:r>
    </w:p>
    <w:p>
      <w:r>
        <w:rPr>
          <w:b/>
        </w:rPr>
        <w:t>E. 13</w:t>
      </w:r>
    </w:p>
    <w:p>
      <w:r>
        <w:t>Il ressort de ce qui précède que, par sa décision du 28 février 2018, l'autorité inférieure n'a ni violé le droit fédéral ni constaté des faits pertinents de manière inexacte ou incomplète ; en outre, cette décision n'est pas inopportune (art. 49 PA). En conséquence, le recours est rejeté.</w:t>
      </w:r>
    </w:p>
    <w:p>
      <w:r>
        <w:rPr>
          <w:b/>
        </w:rPr>
        <w:t>E. 14</w:t>
      </w:r>
    </w:p>
    <w:p>
      <w:r>
        <w:t>Par décision du 10 août 2018, le Tribunal a mis le recourant au bénéfice de l'assistance judiciaire totale, l'a dispensé du paiement des frais de procédure et désigné son mandataire en qualité d'avocat d'office pour la présente procédure de recours. Partant, il n'est pas perçu de frais de procédure. En outre, il convient d'accorder une indemnité à titre d'honoraires au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le Tribunal estime, au regard des art. 8ss FI-TAF, que le versement d'une indemnité à titre d'honoraires s'élevant à Fr. 2'021.30 (TVA comprise) apparaît comme équitable en la présente cause. A ce sujet, il importe de rappeler que le Tribunal ne saurait se baser exclusivement sur la liste des opérations et débours versée au dossier par pli du 15 avril 2019 pour la fixation des honoraires du mandataire, dès lors que pour déterminer le montant des honoraires d'un avocat commis d'office, il sied d'examiner si les opérations effectuées étaient effectivement nécessaires pour la sauvegarde des droits de la partie concernée (en ce sens, cf. notamment MOSER ET AL., op. cit., n° 4.84 in fine p. 271 et les références citées). Dans le cas particulier, le Tribunal considère que le temps pris en considération pour les contacts avec le client et ses proches, la rédaction des écritures, ainsi que pour les recherches effectuées apparaît disproportionné. En outre, il sied de relever l'absence de complexité particulière de l'argumentation juridique développée ainsi que le fait que le mandataire a également défendu les intérêts du recourant dans le cadre de la procédure cantonale ainsi qu'auprès du SEM, de sorte qu'il disposait déjà d'une bonne vue d'ensemble des faits de la cause et des questions juridiques pertinentes avant sa désignation en qualité d'avocat d'office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