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F-218/2019 vom 10. Dezember 2020</w:t>
      </w:r>
    </w:p>
    <w:p>
      <w:r>
        <w:t>Bundesverwaltungsgericht, 2020-12-10, IT</w:t>
      </w:r>
    </w:p>
    <w:p>
      <w:r>
        <w:rPr>
          <w:b/>
        </w:rPr>
        <w:t xml:space="preserve">Quelle: </w:t>
      </w:r>
      <w:r>
        <w:t>https://mcp.opencaselaw.ch/entscheid/bvger_F-218_2019</w:t>
      </w:r>
    </w:p>
    <w:p>
      <w:r>
        <w:t>FR: TAF F-218/2019 du 10 décembre 2020</w:t>
      </w:r>
    </w:p>
    <w:p>
      <w:r>
        <w:t>IT: TAF F-218/2019 del 10 dicembre 2020</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18 settembre 2018,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18 settembre 2018, pronunciante un divieto d'entrata in Svizzera e nel Liechtenstein di sette anni (18.9.2018 - 17.9.2025), di cui il ricorrente chiede, a titolo principale, l'annullamento oppure, a titolo sussidiario, la riduzione della durata.</w:t>
      </w:r>
    </w:p>
    <w:p>
      <w:r>
        <w:rPr>
          <w:b/>
        </w:rPr>
        <w:t>E. 4</w:t>
      </w:r>
    </w:p>
    <w:p>
      <w:r>
        <w:t>L'ALC è applicabile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nel prosieguo verificare se la SEM, nel pronunciare il divieto d'entrata in sé e nel fissarne la durata a sette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In proposito, la legge federale sugli stranieri del 16 dicembre 2005 (LStr), che regola i divieti d'entrata all'art. 67, è stata, con effetto dal 1° gennaio 2019 (RU 2019 1413), non soltanto parzialmente modificata, ma anche ridenominata legge federale sugli stranieri e la loro integrazione (LStrI, RS 142.20). Benché gli artt. 67 cpv. 2 lett. a e 67 cpv. 3 della legge, rilevanti per la presente procedura, non abbiano subito alcuna modifica, materiale o redazionale, dal momento dell'emanazione della decisione impugnata, avvenuta il 18 settembre 2018, si userà in seguito la nuova abbreviazione LStrI.</w:t>
      </w:r>
    </w:p>
    <w:p>
      <w:r>
        <w:rPr>
          <w:b/>
        </w:rPr>
        <w:t>E. 6.1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6.2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sentenza del Tribunale federale 2C_903/2010 del 6 giugno 2011 consid. 4.3.2 e DTF 136 II 5 consid. 4.2).</w:t>
      </w:r>
    </w:p>
    <w:p>
      <w:r>
        <w:rPr>
          <w:b/>
        </w:rPr>
        <w:t>E. 6.4</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6.5</w:t>
      </w:r>
    </w:p>
    <w:p>
      <w:r>
        <w:t>È ancora pertinente sottolineare che, secondo una giurisprudenza consolidata,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7</w:t>
      </w:r>
    </w:p>
    <w:p>
      <w:r>
        <w:t>In prosieguo importa stabilire se le condizioni per emettere un divieto d'entrata in sé fossero adempiute il 18 settembre 2018 (minaccia almeno di una certa gravità); nell'affermativa, bisognerà precisare l'intensità della gravità della minaccia (minaccia solo di una certa gravità o minaccia grave).</w:t>
      </w:r>
    </w:p>
    <w:p>
      <w:r>
        <w:rPr>
          <w:b/>
        </w:rPr>
        <w:t>E. 7.1</w:t>
      </w:r>
    </w:p>
    <w:p>
      <w:r>
        <w:t>Le cinque condanne per tentativo di furto e furto subite dal ricorrente dal 2008 al 2018 (una nel 2008, 2010 e 2017 rispettivamente, e due nel 2018), ossia, da un punto di vista statistico, una ogni due anni, riguardano dei delitti contro il patrimonio la cui lesività, alla luce del numero di aliquote giornaliere pronunciate (da trenta a cento ottanta), il massimo essendo di cento ottanta (cfr. art. 34 cpv. 1 del Codice penale [CP, RS 311.0]), non può essere considerata come particolarmente importante (in media, settant'otto aliquote giornaliere [30+90+30+60+180=390]). In questo senso, si può affermare con sufficiente certezza che, se la loro rilevanza sociale, nella prospettiva dell'ordine e della sicurezza pubblici, non è trascurabile, essa è comunque minore. Questa conclusione sulla lesività e sulla rilevanza sociale dei delitti in questione è corroborata anche dal fatto che, nel loro succedersi, essi non hanno propriamente manifestato una gravità crescente. Cionondimeno, la loro frequenza, reale e statistica, testimonia di un comportamento recidivante di una certa regolarità, il quale tende ad aggravare la loro valenza per l'ordine e la sicurezza pubblici. A queste cinque infrazioni contro il patrimonio si aggiungono due violazioni gravi delle norme sulla circolazione stradale, occorse entrambe nel 2010 (trenta e venticinque aliquote giornaliere). Commettendo queste due infrazioni, il ricorrente ha causato "un serio pericolo per la sicurezza altrui" o ha assunto "il rischio di detto pericolo" (cfr. art. 90 cpv. 2 della legge federale sulla circolazione stradale [LCStr, RS 741.01]). Ciò precisato, le relative condanne risalivano già, quando la SEM ha emanato la decisione impugnata, a otto anni di distanza, una durata apprezzabile, e nel frattempo il ricorrente non ha più interessato la giustizia penale sotto questo profilo, emendando quindi la sua condotta alla guida di autoveicoli. In questo quadro, è ancora utile menzionare il fatto che il ricorrente è stato condannato una sola volta in Italia per calunnia nel lontano 1998, e che è incensurato negli altri Paesi dell'Unione europea (cfr. consid. E).</w:t>
      </w:r>
    </w:p>
    <w:p>
      <w:r>
        <w:rPr>
          <w:b/>
        </w:rPr>
        <w:t>E. 7.2</w:t>
      </w:r>
    </w:p>
    <w:p>
      <w:r>
        <w:t>Pertanto, dati i ripetuti reati di furto, si deve concludere che, al momento del rilascio del divieto d'entrata, il ricorrente presentava un rischio di recidiva che, a prescindere dall'importanza della potenziale infrazione, lo rendeva una minaccia di una certa gravità per l'ordine e la sicurezza pubblici svizzeri, ma che né dal punto di vista quantitativo, né dal punto di vista qualitativo, questa minaccia non poteva essere classificata come grave. Ciò implica che la pronuncia di un divieto d'entrata era giustificata, ma che la sua durata non poteva oltrepassare i cinque anni in conformità al diritto interno svizzero e all'ALC (cfr. consid. 6.2, 6.3 e 6.4).</w:t>
      </w:r>
    </w:p>
    <w:p>
      <w:r>
        <w:rPr>
          <w:b/>
        </w:rPr>
        <w:t>E. 8</w:t>
      </w:r>
    </w:p>
    <w:p>
      <w:r>
        <w:t>Si tratta ora di fissare, in accordo con il principio di proporzionalità, la durata del divieto d'entrata in funzione del complesso delle circostanze del caso, nel quadro del diritto del ricorrente alla libera circolazione garantito dall'ALC (cfr. consid. 4), nonché, se del caso, del suo diritto al rispetto della propria vita privata e familiare secondo l'art. 8 par. 1 della Convenzione europea dei diritti dell'uomo (CEDU, RS 0.101).</w:t>
      </w:r>
    </w:p>
    <w:p>
      <w:r>
        <w:rPr>
          <w:b/>
        </w:rPr>
        <w:t>E. 8.1</w:t>
      </w:r>
    </w:p>
    <w:p>
      <w:r>
        <w:t>In generale, l'attività dello Stato deve rispondere al pubblico interesse ed essere proporzionata allo scopo (art. 5 cpv. 2 della Costituzione federale/Cost., RS 101).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A proposito dell'art. 8 par.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par.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par.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8.3</w:t>
      </w:r>
    </w:p>
    <w:p>
      <w:r>
        <w:t>In concreto, conviene subito rilevare che il ricorrente non può prevalersi della protezione garantita dall'art. 8 par. 1 CEDU, nella misura in cui non dimostra di avere una vita privata e una vita familiare in Svizzera nel senso inteso da questa norma convenzionale. In proposito, si noti che il fatto di "avere un rapporto sentimentale con una persona che abita in Svizzera" (cfr. consid. H) non rientra manifestamente nella categoria di vita familiare secondo la detta norma e la relativa giurisprudenza. Ora, come già stabilito al consid. 7, il ricorrente rappresentava, al momento del rilascio della decisione impugnata, e rappresenta a tutt'oggi, se si considera la vicinanza temporale degli ultimi tre furti, una minaccia soltanto di una certa gravità per l'ordine e la sicurezza pubblici svizzeri, per cui la durata massima del divieto d'entrata non può superare i cinque anni. Tuttavia, la natura dei furti e/o tentativi di furti da lui commessi, alla luce delle pene pecuniarie che li hanno sanzionati, non permette di ritenere che un divieto d'entrata di cinque anni, come misura più rigorosa proponibile, sia conforme alle esigenze del principio di proporzionalità. Lo stesso deve dirsi per le infrazioni alle norme della circolazione stradale del 2010, data la loro lontananza nel tempo e in mancanza di reiterazioni da allora. Per essere proporzionato, il divieto d'entrata deve dunque essere inferiore anche a cinque anni. Tutto sommato, questo Tribunale è del parere che un divieto d'entrata di tre anni, valido quindi fino al 17 settembre 2021, sia sufficiente, nell'ottica della prevenzione dei reati, per preservare l'ordine e la sicurezza pubblici dalla minaccia, ancora attuale, che il ricorrente li sottoporrebbe con la sua presenza in Svizzera. Infatti, tenendo conto delle peculiarità del caso, come sopra esposte, si può partire dal presupposto che, a scadenza del periodo di tre anni, la minaccia, se ancora dove sussisterne una, non sarà più che potenziale. D'altra parte, questa soluzione si inserisce nel solco della giurisprudenza di questo Tribunale (cfr., mutatis mutandis, le sentenze TAF F-8084/2015 del 28 novembre 2016 nonché F-5670/2016 del 14 marzo 2017).</w:t>
      </w:r>
    </w:p>
    <w:p>
      <w:r>
        <w:rPr>
          <w:b/>
        </w:rPr>
        <w:t>E. 8.4</w:t>
      </w:r>
    </w:p>
    <w:p>
      <w:r>
        <w:t>Sulla scorta di tutto quanto precede, la ponderazione dell'interesse pubblico della Svizzera a tenere lontano dal suo territorio il ricorrente e l'interesse privato di quest'ultimo ad usufruire, in particolare, della libera circolazione secondo l'ALC, essenzialmente facendo uso del suo diritto d'ingresso in Svizzera (cfr. art. 1 § 1 allegato I ALC), non permette di considerare che una durata del divieto d'entrata di sette anni sia proporzionata: una durata di tre anni appare invece più consona a garantire gli interessi d'ordine e di sicurezza pubblici svizzeri senza incidere in misura eccessiva sugli interessi privati del ricorrente.</w:t>
      </w:r>
    </w:p>
    <w:p>
      <w:r>
        <w:rPr>
          <w:b/>
        </w:rPr>
        <w:t>E. 9</w:t>
      </w:r>
    </w:p>
    <w:p>
      <w:r>
        <w:t>In conclusione, pronunciando un divieto d'entrata di sette anni, la SEM ha violato l'art. 67 cpv. 3 LStrI, l'ALC e il principio di proporzionalità nell'esercizio del suo potere d'apprezzamento (art. 49 lett. a PA). Stando così le cose, in accordo con le considerazioni sopraesposte, il ricorso deve essere parzialmente accolto e la decisione impugnata riformata, nel senso che la durata del divieto d'entrata è ridotta a tre anni, per cui lo stesso è valido dal 18 settembre 2018 al 17 settembre 2021.</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le conclusioni del ricorrente sono state parzialmente accolte in relazione alla fissazione della durata del divieto d'entrata, è giusto porre a suo carico, a titolo di spese processuali ridotte, fr. 500.- da prelevare sull'anticipo di fr. 1'200.- da lui già versato. Di conseguenza, fr. 700.- saranno restituiti al ricorrente una volta che la presente sentenza sarà cresciuta in giudicato.</w:t>
      </w:r>
    </w:p>
    <w:p>
      <w:r>
        <w:rPr>
          <w:b/>
        </w:rPr>
        <w:t>E. 10.2</w:t>
      </w:r>
    </w:p>
    <w:p>
      <w:r>
        <w:t>Benché il ricorso sia parzialmente accolto, il ricorrente, che non è rappresentato da un avvocato e che, inoltre, non fa valere eventuali spese necessarie e relativamente elevate derivanti per lui dalla causa (spese ripetibili), non ha diritto a un'indennità ridotta in proporzione (art. 64 cpv. 1 PA e artt. 7 e 8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