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F-2165/2020 vom 12. April 2021</w:t>
      </w:r>
    </w:p>
    <w:p>
      <w:r>
        <w:t>Bundesverwaltungsgericht, 2021-04-12, DE</w:t>
      </w:r>
    </w:p>
    <w:p>
      <w:r>
        <w:rPr>
          <w:b/>
        </w:rPr>
        <w:t xml:space="preserve">Quelle: </w:t>
      </w:r>
      <w:r>
        <w:t>https://mcp.opencaselaw.ch/entscheid/bvger_F-2165_2020</w:t>
      </w:r>
    </w:p>
    <w:p>
      <w:r>
        <w:t>FR: TAF F-2165/2020 du 12 avril 2021</w:t>
      </w:r>
    </w:p>
    <w:p>
      <w:r>
        <w:t>IT: TAF F-2165/2020 del 12 aprile 2021</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Der Beschwerdeführer hat am vorangegangenen Einspracheverfahren teilgenommen und ist als Gastgeber der Gesuchstellenden durch den angefochtenen Entscheid besonders berührt. Obwohl der ursprünglich angestrebte Besuchszeitraum inzwischen abgelaufen ist, muss auf ein fortbestehendes Rechtsschutzinteresse geschlossen werden. Dies belegt allein schon die Einreichung des Rechtsmittels. Der Beschwerdeführer ist daher zur Erhebung des Rechtsmittels legitimiert (Art. 48 Abs. 1 VwVG). Auf die im Übrigen frist- und formgerecht eingereichte Beschwerde ist daher einzutreten (vgl.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Dem angefochtenen Entscheid liegen Gesuche syrischer Staatsangehöriger um Erteilung von Visa zu Besuchszwecken in der Schweiz zugrunde. Da sich die Gesuchstellenden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Syrien stammenden Gesuchstellenden - erforderlich ist (vgl. Anhang I zur Verordnung (EU) 2018/1806, ABl. L 303/39 vom 28.11.2018; zum vollständigen Quellennachweis vgl. Fussnote zu Art. 8 Abs. 1 VEV).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4.3</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4.4</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5 Abs. 3 AIG; Art. 3 Abs. 4 VEV; Art. 25 Abs. 1 Bst. a VK; Art. 6 Abs. 5 Bst. c SGK).</w:t>
      </w:r>
    </w:p>
    <w:p>
      <w:r>
        <w:rPr>
          <w:b/>
        </w:rPr>
        <w:t>E. 5.1</w:t>
      </w:r>
    </w:p>
    <w:p>
      <w:r>
        <w:t>Aufgrund ihrer Staatszugehörigkeit unterliegen die Gesuchstellenden der Visumspflicht (vgl. E. 4.2 hiervor). Bei der Prüfung der Einreisevoraussetzungen nach Art. 6 Abs. 1 SGK ist die Frage der gesicherten Wiederausreise zentral. Eine solche erachtete die Vorinstanz aufgrund der allgemeinen Situation im Heimatland und der persönlichen Verhältnisse der Betroffenen als nicht genügend gewährleistet.</w:t>
      </w:r>
    </w:p>
    <w:p>
      <w:r>
        <w:rPr>
          <w:b/>
        </w:rPr>
        <w:t>E. 5.2</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5.3</w:t>
      </w:r>
    </w:p>
    <w:p>
      <w:r>
        <w:t>Die Situation in Syrien ist immer noch geprägt von komplexen militärischen Auseinandersetzungen verschiedener Gruppierungen, welche weiterhin zahlreiche Städte und Regionen betreffen. Täglich werden in Teilen des Landes Tote und Verletzte gemeldet. Insbesondere in der Provinz Idlib ist die Lage weiterhin volatil und es kommt nach wie vor zu teils intensiven Kampfhandlungen. Die Terrororganisation IS hält seit März 2019 keine Gebiete mehr in Syrien, bleibt aber aus dem Untergrund aktiv und ist nach wie vor in der Lage, überall im Land Anschläge zu verüben. Die Al-Kaida-nahe Hayat Tahrir al-Sham (vormals Dschabhat Fatah al-Sham bzw. Dschabhat al-Nusra) kontrolliert nach wie vor Teile der Provinz Idlib sowie nördliche Gebiete der Provinz Hama und westliche Gebiete der Provinz Aleppo. Seit Januar 2012 gibt es eine hohe terroristische Gefährdung für öffentliche Gebäude in Syrien, die durch die fortgesetzte Präsenz terroristischer Zellen in allen Landesteilen akut bleibt (Quelle: Website des Deutschen Auswärtigen Amtes: www.auswaertiges-amt.de, Aussen- und Europapolitik &gt; Länder &gt; Syrien &gt; Reisewarnung, Stand: 29. März 2021, abgerufen im März 2021).</w:t>
      </w:r>
    </w:p>
    <w:p>
      <w:r>
        <w:rPr>
          <w:b/>
        </w:rPr>
        <w:t>E. 5.4</w:t>
      </w:r>
    </w:p>
    <w:p>
      <w:r>
        <w:t>Vor diesem Hintergrund ist grundsätzlich nicht zu beanstanden, dass die Vorinstanz das Risiko einer nicht fristgerechten Wiederausreise von Besuchern aus Syrien als hoch einschätzt. Besteht im Ausland bereits ein soziales Beziehungsnetz von Verwandten oder Freunden, so begünstigt dies die Tendenz, sich dort unter besseren Lebensbedingungen eine (neue) Existenz aufzubauen. Vor diesem Hintergrund ist es naheliegend, dass Familienangehörige oftmals versuchen, auch ihre Eltern oder Gross-eltern, für welche sie sich verantwortlich fühlen, in die Schweiz nachzuziehen. Dies insbesondere dann, wenn diese - altersbedingt ohne berufliche Verpflichtungen - alleine im Heimatstaat zurückbleiben und/oder aus gesundheitlichen Gründen nicht mehr für sich selbst sorgen können.</w:t>
      </w:r>
    </w:p>
    <w:p>
      <w:r>
        <w:rPr>
          <w:b/>
        </w:rPr>
        <w:t>E. 6.1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 Entgegen den Ausführungen des Beschwerdeführers hat sich das SEM in seiner Verfügung vom 24. März 2020 eingehend mit der individuellen Situation der Gesuchstellenden in Syrien auseinandergesetzt. Von einer allgemeinen und nicht fallspezifischen Begründung kann keine Rede sein (zur Begründungspflicht im Allgemeinen vgl. Urteil des BVGer F-1858/2017 vom 7. August 2019 E. 3.5). Nachfolgend gilt es somit auf die Frage einzugehen, ob sich die diesbezüglichen Ausführungen der Vorinstanz als zutreffend erweisen.</w:t>
      </w:r>
    </w:p>
    <w:p>
      <w:r>
        <w:rPr>
          <w:b/>
        </w:rPr>
        <w:t>E. 6.2</w:t>
      </w:r>
    </w:p>
    <w:p>
      <w:r>
        <w:t>Aus den Akten ist nicht ersichtlich, inwiefern die mittlerweile 71- und 66-jährigen Gesuchstellenden über aussergewöhnliche gesellschaftliche oder familiäre Bindungen und Verpflichtungen in Syrien verfügen. Zwar führt der Beschwerdeführer in der Rechtsmitteleingabe dazu in pauschaler Weise aus, die Gesuchstellenden hätten eine gute Zukunft in Syrien mit vielversprechenden Prognosen, könnten die Sprache des Landes und würden dort über Verwandte und ein soziales Beziehungsnetz verfügen. Hingegen lassen diese pauschalen Vorbringen nicht per se auf besondere familiäre bzw. gesellschaftliche Verpflichtungen schliessen, welche Gewähr für eine fristgerechte Wiederausreise bieten würden. Dies umso weniger, als der Beschwerdeführer in seinem Einladungsschreiben an die Schweizer Vertretung vom 7. Dezember 2019 noch darauf hingewiesen hat, seine Eltern lebten im Moment alleine in Syrien, fühlten sich einsam und möchten ihre Einsamkeit durch eine Reise in die Schweiz überwinden.</w:t>
      </w:r>
    </w:p>
    <w:p>
      <w:r>
        <w:rPr>
          <w:b/>
        </w:rPr>
        <w:t>E. 6.3</w:t>
      </w:r>
    </w:p>
    <w:p>
      <w:r>
        <w:t>Auch die Angaben zu den wirtschaftlichen Verhältnissen der Gesuchstellenden sind lediglich allgemein gehalten. Zwar wies der Beschwerdeführer in seinem Antwortschreiben an die kantonale Migrationsbehörde vom 4. März 2020 darauf hin, dass seine Eltern in Syrien verschiedene Einnahmequellen hätten, nicht arbeiten müssten und Haus, Laden, Land und Fahrzeuge besässen, ohne allerdings entsprechende Belege vorzulegen. Infolgedessen kann nicht als erstellt gelten, dass die Gesuchstellenden in soliden wirtschaftlichen Verhältnissen leben, die sie von einer Emigration abhalten könnten. Vorliegend wird diese Annahme noch durch den Umstand bekräftigt, dass gemäss Angaben des Beschwerdeführers mittlerweile alle Kinder - somit die nächsten Familienangehörigen der Gesuchstellenden - in der Schweiz bzw. in andern Ländern Europas leben.</w:t>
      </w:r>
    </w:p>
    <w:p>
      <w:r>
        <w:rPr>
          <w:b/>
        </w:rPr>
        <w:t>E. 6.4</w:t>
      </w:r>
    </w:p>
    <w:p>
      <w:r>
        <w:t>Nicht zuletzt altersbedingte gesundheitliche Probleme, aber auch die misslichen Verhältnisse im Heimatland bergen ein erhöhtes Risiko in sich, die Gesuchstellenden könnten nach einem mehrwöchigen Aufenthalt in der Schweiz geneigt sein, den Lebensabend doch noch im Umfeld ihrer in der Schweiz lebenden nächsten Angehörigen zu verbringen oder sich über die beantragte Visumsdauer hinaus hierzulande aufzuhalten. Insofern könnten gewisse unerwünschte Festsetzungstendenzen bestehen und demzufolge begründete Zweifel am deklarierten Aufenthaltszweck (Besuchsaufenthalt) berechtigt sein.</w:t>
      </w:r>
    </w:p>
    <w:p>
      <w:r>
        <w:rPr>
          <w:b/>
        </w:rPr>
        <w:t>E. 6.5</w:t>
      </w:r>
    </w:p>
    <w:p>
      <w:r>
        <w:t>An der Richtigkeit der Einschätzung der Vorinstanz ändert auch die Tatsache nichts, dass der Beschwerdeführer die fristgerechte Ausreise der Gesuchstellenden zusichert oder, wie er selbst ausführt, ein Sicherheitsdepot zur Sicherstellung der Rückkehr seiner Eltern leisten würde. Bei der Risikobeurteilung ist in erster Linie das mögliche Verhalten der Gäste selbst von Bedeutung. Gastgeber und Garanten können mit rechtlich verbindlicher Wirkung zwar für gewisse finanzielle Risiken im Zusammenhang mit dem Besuchsaufenthalt, nicht aber für ein bestimmtes Tun oder Unterlassen ihrer Gäste einstehen (vgl. in diesem Zusammenhang auch BVGE 2014/1 E. 6.3.7; 2009/27 E. 9). Aus diesem Grund kann auch nicht entscheidend sein, dass die Gesuchstellenden - vor rund sieben Jahren - ihre Familienangehörigen in der Schweiz besuchen konnten und anschliessend fristgerecht in ihr Heimatland zurückgekehrt sind. Wie die Vorinstanz zu Recht festgehalten hat, könnte sich ihre Situation (nicht zuletzt aufgrund ihres fortgeschrittenen Alters) zwischenzeitlich so verändert haben, dass nunmehr ein Verbleib in der Schweiz bei den Kindern und Grosskindern gewünscht wird (vgl. auch E. 6.4 hievor). Zudem gilt es zu bedenken, dass bei der Prüfung der gesicherten Wiederausreise jeweils - wie oben dargelegt - eine Vielzahl von Faktoren berücksichtigt werden müssen, sodass jeder (neue) Fall eine ihm in örtlicher, zeitlicher und persönlicher Hinsicht eigene und spezifische Konstellation aufweist.</w:t>
      </w:r>
    </w:p>
    <w:p>
      <w:r>
        <w:rPr>
          <w:b/>
        </w:rPr>
        <w:t>E. 6.6</w:t>
      </w:r>
    </w:p>
    <w:p>
      <w:r>
        <w:t>Nach dem Gesagten ist die Schlussfolgerung der Vorinstanz, wonach die Wiederausreise der Gesuchstellenden angesichts ihrer individuellen Situation sowie der allgemeinen Lage in Syrien nicht als gesichert angesehen werden könne, nicht zu beanstanden. Mithin fehlt es an einer unabdingbaren Voraussetzung für die Erteilung eines einheitlichen Visums für den gesamten Schengen-Raum.</w:t>
      </w:r>
    </w:p>
    <w:p>
      <w:r>
        <w:rPr>
          <w:b/>
        </w:rPr>
        <w:t>E. 7</w:t>
      </w:r>
    </w:p>
    <w:p>
      <w:r>
        <w:t>Zusammenfassend ergibt sich, dass vorliegend die Voraussetzungen für die Erteilung eines einheitlichen Visums für den Schengen-Raum nicht er-füllt sind. Es sind auch keine humanitären Gründe, nationale Interessen oder internationale Verpflichtungen ersichtlich, welche die Ausstellung eines Visums mit räumlich beschränkter Gültigkeit gebieten würden (vgl. E. 4.4). Vom Beschwerdeführer wird weder behauptet, noch geht aus den Akten hervor, dass seine Beziehung zu den Gesuchstellenden derart eng und intensiv ist, dass diese vom Schutz von Art. 8 EMRK umfasst würde. Aufgrund der vorgenommenen Beurteilung bleibt es den Betroffenen zudem möglich und zumutbar, sich vorderhand im Ausland zu treffen (vgl. BGE 144 II 1 E. 6.1; BVGE 2011/48 E. 6.3.2). Der an sich verständliche Wunsch des Beschwerdeführers, seinen Eltern (erneut) den Besuch ihrer in der Schweiz lebenden Kinder und Enkelkinder zu ermöglichen, hat demnach in den Hintergrund zu treten.</w:t>
      </w:r>
    </w:p>
    <w:p>
      <w:r>
        <w:rPr>
          <w:b/>
        </w:rPr>
        <w:t>E. 8</w:t>
      </w:r>
    </w:p>
    <w:p>
      <w:r>
        <w:t>Gestützt auf die obigen Erwägungen erweist sich die Verweigerung der Ausstellung der Visa durch die Vorinstanz als rechtmässig. Die angefochtene Verfügung ist somit im Lichte von Art. 49 VwVG nicht zu beanstanden. Die Beschwerde ist demnach abzuweisen.</w:t>
      </w:r>
    </w:p>
    <w:p>
      <w:r>
        <w:rPr>
          <w:b/>
        </w:rPr>
        <w:t>E. 9</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