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F-2164/2021 vom 4. Oktober 2023</w:t>
      </w:r>
    </w:p>
    <w:p>
      <w:r>
        <w:t>Bundesverwaltungsgericht, 2023-10-04, IT</w:t>
      </w:r>
    </w:p>
    <w:p>
      <w:r>
        <w:rPr>
          <w:b/>
        </w:rPr>
        <w:t xml:space="preserve">Quelle: </w:t>
      </w:r>
      <w:r>
        <w:t>https://mcp.opencaselaw.ch/entscheid/bvger_F-2164_2021</w:t>
      </w:r>
    </w:p>
    <w:p>
      <w:r>
        <w:t>FR: TAF F-2164/2021 du 4 octobre 2023</w:t>
      </w:r>
    </w:p>
    <w:p>
      <w:r>
        <w:t>IT: TAF F-2164/2021 del 4 ottobre 2023</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 zionate all'art. 33 LTAF, salvo nei casi previsti all’art. 32 LTAF. La SEM fa parte delle dette autorità (art. 33 lett. d LTAF) e il divieto d’en- trata del 16 marzo 2021,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 1 e 3 dell’Accordo tra la Svizzera e la Comunità europea, nonché i suoi Stati membri, sulla libera circolazione delle persone del 21 giugno 1999 [ALC RS 0.142.112.681], in vigore dal 1° giungo 2002, nonché l’art. 83 lett. c cifra 1 della legge sul Tribunale federale del 17 giu- gno 2005 [LTF, RS 173.110]; cfr. inoltre la sentenza del Tribunale federale 2C_270/2015 del 6 agosto 2015 consid. 1).</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Ne deriva che il ricorso è ammissibile e nulla osta quindi all’esame del merito del litigio.</w:t>
      </w:r>
    </w:p>
    <w:p>
      <w:r>
        <w:rPr>
          <w:b/>
        </w:rPr>
        <w:t>E. 2</w:t>
      </w:r>
    </w:p>
    <w:p>
      <w:r>
        <w:t>Con il deposito del ricorso, la trattazione della causa, oggetto della deci- sione impugnata, passa a questo Tribunale (effetto devolutivo), che ha pieno potere d’esame riguardo all'applicazione del diritto, compreso l'ec- cesso o l'abuso del potere di apprezzamento, all'accertamento inesatto o</w:t>
      </w:r>
    </w:p>
    <w:p>
      <w:r>
        <w:t>F-2164/2021 Pagina 5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 lius”) o di meno (“reformatio in peius”) rispetto a quanto richiesto (art. 62 cpv. 1 a 3 PA: massima dell'ufficialità; cfr. MADELEINE CAMPRUBI, in: Chri- 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16 marzo 2021, pronunciante un divieto d’entrata in Svizzera e nel Liechtenstein di nove anni (16.03.2021 – 15.03.2030), di cui il ricorrente chiede l’annullamento o la riduzione della durata ad un anno.</w:t>
      </w:r>
    </w:p>
    <w:p>
      <w:r>
        <w:rPr>
          <w:b/>
        </w:rPr>
        <w:t>E. 4</w:t>
      </w:r>
    </w:p>
    <w:p>
      <w:r>
        <w:t>L’ALC è applicabile ratione temporis, ratione personae e ratione materiae alla fattispecie, nella misura in cui il ricorrente, come cittadino italiano, gode dal 1° giugno 2002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La presente procedura concerne principalmente il diritto d’entrata in Sviz- zera, di cui la decisione impugnata restringe l’esercizio da parte del ricor- rente (deroga alla libertà di circolazione). Di conseguenza, bisogna nel pro- sieguo verificare se la SEM, nel pronunciare il divieto d’entrata in sé e nel fissarne la durata a nove anni, si sia conformata alle esigenze poste dall’ALC, secondo il quale i diritti da esso conferiti, in particolare il diritto d’ingresso, possono essere limitati soltanto da misure giustificate da motivi di ordine pubblico, pubblica sicurezza e pubblica sanità (cfr. artt. 1 § 1 e 5 § 1 allegato I ALC).</w:t>
      </w:r>
    </w:p>
    <w:p>
      <w:r>
        <w:rPr>
          <w:b/>
        </w:rPr>
        <w:t>E. 5</w:t>
      </w:r>
    </w:p>
    <w:p>
      <w:r>
        <w:t>Considerato che l’ALC non regola espressamente i divieti d’entrata in</w:t>
      </w:r>
    </w:p>
    <w:p>
      <w:r>
        <w:t>F-2164/2021 Pagina 6 quanto tali, bisogna partire dal presupposto che si applica il diritto interno svizzero anche ai divieti d’entrata nei confronti di cittadini dell’Unione euro- pea, come si può desumere dall’art. 24 dell’ordinanza del 22 maggio 2002 concernente l'introduzione graduale della libera circolazione delle persone tra la Confederazione svizzera e l'Unione europea e i suoi Stati membri (OLCP, RS 142.203). È quindi applicabile la legge federale sugli stranieri del 16 dicembre 2005 (LStr), che regola i divieti d’entrata all’art. 67, la quale è stata, con effetto dal 1° gennaio 2019, ridenominata legge federale sugli stranieri e la loro integrazione (LStrI, RS 142.20).</w:t>
      </w:r>
    </w:p>
    <w:p>
      <w:r>
        <w:rPr>
          <w:b/>
        </w:rPr>
        <w:t>E. 6.1</w:t>
      </w:r>
    </w:p>
    <w:p>
      <w:r>
        <w:t>La SEM può vietare l'entrata in Svizzera allo straniero che ha violato o espone a pericolo l'ordine e la sicurezza pubblici in Svizzera o all'estero (art. 67 cpv. 2 lett. a LStrI [nella sua versione in vigore fino al 21 novembre 2022; RU 2010 5925.]) Nell’esercizio del suo potere discrezionale, la SEM tiene conto degli interessi pubblici e, in particolare, della situazione perso- 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 lazione della sicurezza e dell’ordine pubblici segnatamente se sono com- messe infrazioni gravi o ripetute di prescrizioni di legge o di decisioni delle autorità nonché in caso di mancato adempimento di doveri di diritto pub- blico o privato” (Messaggio LStr, pag. 3424).</w:t>
      </w:r>
    </w:p>
    <w:p>
      <w:r>
        <w:rPr>
          <w:b/>
        </w:rPr>
        <w:t>E. 6.2</w:t>
      </w:r>
    </w:p>
    <w:p>
      <w:r>
        <w:t>Il divieto d'entrata è pronunciato per una durata massima di cinque anni; può essere pronunciato per una durata più lunga se l'interessato co- stituisce un grave pericolo per l'ordine e la sicurezza pubblici (art. 67 cpv. 3 LStrI).</w:t>
      </w:r>
    </w:p>
    <w:p>
      <w:r>
        <w:t>F-2164/2021 Pagina 7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 nata tenendo debitamente conto di tutte le circostanze pertinenti di ogni caso e che non supera di norma i cinque anni, ma che può essere supe- riore ai cinque anni se il cittadino di un paese terzo costituisce una grave minaccia per l’ordine pubblico, la pubblica sicurezza o la sicurezza nazio- nale (cfr. la nota a piè di pagina relativa all’art. 67 LStrI; cfr. anche DTF 139 II 121 consid. 5.1 e 6.3).</w:t>
      </w:r>
    </w:p>
    <w:p>
      <w:r>
        <w:rPr>
          <w:b/>
        </w:rPr>
        <w:t>E. 6.3</w:t>
      </w:r>
    </w:p>
    <w:p>
      <w:r>
        <w:t>Le nozioni di ordine pubblico, di pubblica sicurezza e di pubblica sanità, secondo l’art. 5 § 1 allegato I ALC, vanno intese nel senso definito dalla direttiva 64/221/CEE del Consiglio del 25 febbraio 1964 e dalla relativa giu- risprudenza della Corte di giustizia delle Comunità europee (CGCE; dal 1° dicembre 2009, la Corte di giustizia dell’Unione europea [CGUE]), prece- dente la sottoscrizione dell’ALC (art. 5 § 2 allegato I ALC in relazione con l’art. 16 § 2 ALC). Così, le deroghe alla libera circolazione garantita dall'ALC devono essere interpretate in modo restrittivo. Al di là della turba- 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 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 ricolo dell'ordine pubblico. Per valutare l'attualità della minaccia, non oc- corre prevedere quasi con certezza che lo straniero commetterà altre in- frazioni in futuro; d'altro lato, per rinunciare a misure di ordine pubblico, non si deve esigere che il rischio di recidiva sia praticamente nullo. La misura dell'apprezzamento dipende in sostanza dalla gravità della potenziale in- frazione: tanto più questa appare importante, quanto minori sono le esi- genze in merito al rischio di recidiva (cfr. la sentenza del Tribunale federale 2C_903/2010 del 6 giugno 2011 consid. 4.3.2 e DTF 136 II 5 consid. 4.2).</w:t>
      </w:r>
    </w:p>
    <w:p>
      <w:r>
        <w:rPr>
          <w:b/>
        </w:rPr>
        <w:t>E. 6.4</w:t>
      </w:r>
    </w:p>
    <w:p>
      <w:r>
        <w:t>Riassumendo le esigenze poste dal diritto interno, dall’ALC e dalla giu- risprudenza della CGUE, il Tribunale federale rileva che, per potere pro- nunciare un divieto d’entrata fino a cinque anni al massimo nei confronti di</w:t>
      </w:r>
    </w:p>
    <w:p>
      <w:r>
        <w:t>F-2164/2021 Pagina 8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 che fino a venti anni: cfr. DTAF 2014/20 consid. 7), e ciò indipendente- 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 zione (cfr. FF 2009 8043, pag. 8058 [in francese]), deve essere esaminato concretamente, con riferimento agli atti di causa (cfr. MARC SPESCHA, in: Spescha et al. [editori], Migrationsrecht, 5a ed. 2019 art. 67 LStr, n. 6, pag. 366; ADANK-SCHÄRER/ANTONIAZZA-HAFNER, Interdiction d’entrée pronon- 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 mente grave a dimensione transfrontaliera (cfr. art. 83 § 1 del Trattato sul funzionamento dell'Unione europea nella versione consolidata di Lisbona [TFUE], che menziona gli atti di terrorismo, la tratta di esseri umani, il traf- fico di droga e la criminalità organizzata), oppure del numero delle infra- zioni commesse (recidiva), anche alla luce della loro eventuale crescente gravità o dell'assenza di una prognosi favorevole (cfr. DTF 139 II 121 con- sid. 6.3).</w:t>
      </w:r>
    </w:p>
    <w:p>
      <w:r>
        <w:rPr>
          <w:b/>
        </w:rPr>
        <w:t>E. 6.5</w:t>
      </w:r>
    </w:p>
    <w:p>
      <w:r>
        <w:t>Nel valutare la minaccia che emana da uno straniero sanzionato per avere violato la legislazione federale sugli stupefacenti, il Tribunale fede- rale fa prova di un rigore particolare, tanto che questo genere di infrazioni è ritenuto costituire, in regola generale, una turbativa “molto grave” (“sch- werwiegend”, “très grave”) dell’ordine e della sicurezza pubblici. In quest’ottica, la giurisprudenza è molto severa nei confronti degli stranieri che ricorrono allo spaccio di droga a scopo di lucro, con la precisazione che questa posizione di principio può vedersi attenuata, a seconda delle circostanze, se le infrazioni commesse sono strettamente legate alla tossi- codipendenza dell’interessato (cfr. sentenza del TAF F-6510/2018 del 30</w:t>
      </w:r>
    </w:p>
    <w:p>
      <w:r>
        <w:t>F-2164/2021 Pagina 9 aprile 2020 consid. 4.4, DTF 139 II 121 consid. 5.3 e 137 II 297 consid. 3.3, nonché le sentenze del Tribunale federale 2C_139/2013 dell’11 giugno 2013 consid. 6.2.3 e 2C_401/2012 del 18 settembre 2012 consid. 3.3, con i loro numerosi riferimenti).</w:t>
      </w:r>
    </w:p>
    <w:p>
      <w:r>
        <w:rPr>
          <w:b/>
        </w:rPr>
        <w:t>E. 6.6</w:t>
      </w:r>
    </w:p>
    <w:p>
      <w:r>
        <w:t>È ancora utile sottolineare che, in linea di principio, la motivazione di un giudizio penale non vincola l’autorità amministrativa. Al contrario, per garantire l’unità della giurisprudenza ed evitare, nel limite del possibile, de- cisioni contraddittorie, l’autorità amministrativa non deve, senza necessità, scostarsi dalle risultanze fattuali del procedimento penale. Ciò posto, il di- ritto penale e il diritto degli stranieri hanno scopi differenti e si applicano indipendentemente l’uno dall’altro. In effetti, oltre alla sicurezza, il giudice penale persegue obiettivi terapeutici e di risocializzazione del condannato, mentre l'autorità amministrativa si prefigge primariamente di garantire la sicurezza e l'ordine pubblici ed esamina dunque la questione della perico- losità dello straniero applicando criteri più severi. Così, nell’ottica del diritto degli stranieri, la liberazione condizionale di un condannato, come pure la constatazione, da parte delle autorità preposte all’esecuzione della pena, che egli fa prova di un’evoluzione positiva o di un comportamento irrepren- sibile, non permettono di escludere, di per sé, che non rappresenti più un pericolo per l’ordine e la sicurezza pubblici. In questo senso, anche senza disporre di un giudizio penale, sia per la mancata apertura del relativo pro- cedimento, sia a causa della sua pendenza, l'autorità amministrativa può adottare un divieto d’entrata se giunge alla conclusione, fondandosi sul proprio apprezzamento dei mezzi di prova, che le condizioni per emanarlo sono soddisfatte (cfr., tra le tante, DTF 140 I 145 consid. 4.3, 137 II 233 consid. 5.2.2 e 129 II 215 consid. 3.2, nonché le sentenze 2C_606/2020 del 5 marzo 2021 consid. 3.3.1, 2C_ 622/2014 del 27 gennaio 2015 consid. 4.3.2 [in italiano], 1C_596/2014 del 3 febbraio 2015 consid. 2.4 [in italiano], 2C_11/2013 del 25 marzo 2013 consid. 2.3 e 2C_642/2009 del 25 marzo 2010 consid. 4.2.3; cfr. anche le sentenze TAF F-6623/2016 del 22 marzo 2018 consid. 8.4 e C-2463/2013 del 7 maggio 2015 consid. 8.4).</w:t>
      </w:r>
    </w:p>
    <w:p>
      <w:r>
        <w:rPr>
          <w:b/>
        </w:rPr>
        <w:t>E. 7</w:t>
      </w:r>
    </w:p>
    <w:p>
      <w:r>
        <w:t>In prosieguo importa stabilire se le condizioni per emettere un divieto d’en- trata in sé (minaccia almeno di una certa gravità) fossero adempiute il 16 marzo 2021 (cfr. le sentenze del Tribunale federale 2C_66/2018 del 7 maggio 2018 consid. 5.3.1 e 2C_784/2014 del 24 aprile 2015 consid. 3.2 in fine); nell’affermativa, bisognerà precisare l’intensità della gravità della minaccia (minaccia solo di una certa gravità o minaccia grave). È doveroso puntualizzare che, nel caso in cui tra la decisione amministrativa e la sua verifica giudiziaria trascorra del tempo, bisogna tenere conto, per valutare</w:t>
      </w:r>
    </w:p>
    <w:p>
      <w:r>
        <w:t>F-2164/2021 Pagina 10 il presupposto della minaccia attuale, anche di eventuali elementi di fatto successivi al rilascio del divieto d’entrata (cfr. DTF 137 II 233 consid. 5.3.1; cfr. anche la sentenza del Tribunale federale 2C_173/2019 del 31 luglio 2019 consid. 5.2.1, con il rinvio alla sentenza CGCE del 29 aprile 2004, Orfanopoulos e Oliveri, C-482/01 e C-493/01, nn. 77 a 79).</w:t>
      </w:r>
    </w:p>
    <w:p>
      <w:r>
        <w:rPr>
          <w:b/>
        </w:rPr>
        <w:t>E. 7.1</w:t>
      </w:r>
    </w:p>
    <w:p>
      <w:r>
        <w:t>Il ricorrente ha interessato le autorità penali italiane e svizzere a più riprese. Nel maggio e nel luglio 2010 il ricorrente è stato condannato dalle autorità italiane a una pena di reclusione di un anno e a una multa di EUR 3'000.–. ciascuna. Nel febbraio 2016 è stato condannato dalle autorità ita- liane a una pena di un anno e sei messi di reclusione e a una multa di EUR 1'600.–. All'origine di dette condanne vi è sempre il medesimo tipo di reato - e cioè: detenzione e offerta di sostanze stupefacenti. Il ricorrente è stato anche ritenuto colpevole di grave infrazione alle norme della circolazione (circolazione a una velocita di 148 Km/h in un tratto in cui vigeva il limite di 100 Km/h) e per questo nuovamente condannato dalle autorità svizzere ad una pena pecuniaria di 45 aliquote giornaliere con la condizionale e un periodo di prova di tre anni, nonché una multa di fr. 900.– (condanna del 31 agosto 2017). In più il 27 gennaio 2020, il ricorrente è stato condannato in Italia a due mesi di arresto per il reato di guida in stato di ebrezza, commesso il 19 agosto 2018, e ad un’ammenda di EUR 1'200.–. L’11 marzo 2020, il ricorrente è stato condannato in Svizzera ad un’altra violazione grave delle norme della circolazione stradale, com- messa nel 2019, comminandogli una pena pecuniaria di 120 aliquote gior- naliere con la condizionale e un periodo di prova di quattro anni, come pure una multa di fr. 1'300.–.</w:t>
      </w:r>
    </w:p>
    <w:p>
      <w:r>
        <w:rPr>
          <w:b/>
        </w:rPr>
        <w:t>E. 7.2</w:t>
      </w:r>
    </w:p>
    <w:p>
      <w:r>
        <w:t>Alla luce di queste circostanze, il Tribunale ritiene che il rischio di reci- diva non possa essere escluso. Il fatto che egli abbia ripetutamente perpe- trato delitti non può condurre ad una diversa valutazione. Ne discende che la minaccia per l’ordine e la sicurezza pubblici rappresentata dall’insor- gente deve essere ritenuta attuale, ragione per cui è giustificata l’emana- zione di una misura di allontanamento dal territorio elvetico (cfr. sentenza del TAF F-1472/2016 del 8 dicembre 2017 consid 7.3.) Per quanto riguarda la preservazione dell’ordine e della sicurezza pubblici dai pericoli derivanti dalla messa a disposizione di stupefacenti, anche in relazione agli effetti della dipendenza che essi causano (cfr. artt. 1 lett. c/d e 2 lett. b LStup), importa evidenziare che la giurisprudenza del Tribunale federale è partico- larmente severa, anche in casi in cui trova applicazione l'accordo sulla li- bera circolazione delle persone (DTF 139 II 121 consid. 5.3 pag. 126; sen- tenze 2C_758/2019 del 14 aprile 2020 consid. 5.2.1; 2C_44/2017 del 28</w:t>
      </w:r>
    </w:p>
    <w:p>
      <w:r>
        <w:t>F-2164/2021 Pagina 11 luglio 2017 consid. 5.1 e 2C_963/2015 del 29 febbraio 2016 consid. 4.3). Riguardo alla sicurezza stradale, va sottolineato che, secondo una giuri- sprudenza consolidata, guidare in stato di ubriachezza mette gravemente in pericolo la vita del conduttore e degli altri utenti della strada (sentenza del Tribunale federale 2C_452/2017 del 2 luglio 2018 consid. 4.4 con i rin- vii). Alla luce di queste considerazioni, la valutazione della SEM che il ri- corrente costituiva, nel marzo 2021, una minaccia grave attuale per l’ordine e la sicurezza pubblici svizzeri, ai sensi della legge e della giurisprudenza (cfr. consid. 6), era giustificata, con la conseguenza che l’adozione di un divieto d’entrata superiore a 5 anni era giustificata (art. 67 cpv. 3 LStrI).</w:t>
      </w:r>
    </w:p>
    <w:p>
      <w:r>
        <w:rPr>
          <w:b/>
        </w:rPr>
        <w:t>E. 8</w:t>
      </w:r>
    </w:p>
    <w:p>
      <w:r>
        <w:t>Si tratta ora di fissare, in accordo con il detto principio costituzionale, la durata del divieto d’entrata in funzione del complesso delle circostanze del caso, nel quadro del diritto del ricorrente alla libera circolazione garantito dall’ALC (cfr. consid. 4), nonché sotto aspetto della proporzionalità.</w:t>
      </w:r>
    </w:p>
    <w:p>
      <w:r>
        <w:rPr>
          <w:b/>
        </w:rPr>
        <w:t>E. 8.1</w:t>
      </w:r>
    </w:p>
    <w:p>
      <w:r>
        <w:t>In generale, l'attività dello Stato deve rispondere al pubblico interesse ed essere proporzionata allo scopo (art. 5 cpv. 2 Cost.; cfr. ugualmente, intanto fosse applicabile, art. 8 §2 CEDU). Da un punto di visto analitico, il principio della proporzionalità viene suddiviso in tre regole: l'idoneità, la ne- 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 posto interesse privato, valutando quale dei due debba prevalere in fun- zione delle circostanze (cfr. DTF 129 I 12 consid. 6 a 9).</w:t>
      </w:r>
    </w:p>
    <w:p>
      <w:r>
        <w:rPr>
          <w:b/>
        </w:rPr>
        <w:t>E. 8.2</w:t>
      </w:r>
    </w:p>
    <w:p>
      <w:r>
        <w:t>Ora come già stabilito al consid. 7.2, a causa delle molteplici e frequenti infrazioni penali commesse sia in Italia che in Svizzera, il ricorrente conti- nua senz’altro a rappresentare una minaccia grave per l’ordine e la sicu- rezza pubblici. Tuttavia, bisogna anche tenere in considerazione che l’ul- tima condanna per la detenzione e offerta di sostanze stupefacenti risale a un reato commesso nel 2015. Inoltre, dalla sua condanna nel 2020, per violazione grave della norma della circolazione stradale, il ricorrente non è più stato accusato.</w:t>
      </w:r>
    </w:p>
    <w:p>
      <w:r>
        <w:t>F-2164/2021 Pagina 12</w:t>
      </w:r>
    </w:p>
    <w:p>
      <w:r>
        <w:rPr>
          <w:b/>
        </w:rPr>
        <w:t>E. 8.3</w:t>
      </w:r>
    </w:p>
    <w:p>
      <w:r>
        <w:t>Come interesse privato, il ricorrente fa valere lo svolgimento della sua attività lavorativa in E._____. Nel 2016 aveva iniziato a lavorare presso la F._____ di G._____ come “collaboratore di produzione” con contratto a tempo indeterminato. Il 18 novembre 2017, ha dovuto cessare la sua atti- vità su ordine dell’E.. Benché il divieto d’entrata limiti il ricorrente, senza dubbi, nell’esercizio della libera circolazione sotto il profilo del diritto d’en- trata in Svizzera, la ragione per la quale egli non può attualmente conti- nuare a svolgere la sua attività lavorativa in E._____ risiede nel rifiuto dell’E., confermato in ultima istanza dal Tribunale federale, di concedergli un permesso di lavoro per frontalieri “G”. In questo contesto, va anche rile- vato che il ricorrente era attivo in Svizzera solo da pochi anni, ovvero dal giugno 2016, che è ancora molto giovane (1991) e che potrà far valere l'esperienza acquisita anche per cercare nuovi impieghi nella vicina Lom- bardia o altrove in Italia (sentenza 2C_847/2019 del 18 dicembre 2019 con- sid. 5.3.2).</w:t>
      </w:r>
    </w:p>
    <w:p>
      <w:r>
        <w:rPr>
          <w:b/>
        </w:rPr>
        <w:t>E. 8.4</w:t>
      </w:r>
    </w:p>
    <w:p>
      <w:r>
        <w:t>Sulla scorta di tutto quanto precede, la ponderazione dell’interesse pubblico della Svizzera a tenere lontano dal suo territorio il ricorrente e l’interesse privato di quest’ultimo ad usufruire, in particolare, della libera circolazione secondo l’ALC, essenzialmente facendo uso del suo diritto d’entrata in Svizzera (cfr. art. 1 § 1 allegato I ALC), non permette di consi- derare che una durata del divieto d’entrata di nove anni sia proporzionata: una durata di sette anni appare invece più consona a garantire gli interessi d’ordine e di sicurezza pubblici svizzeri senza incidere in misura eccessiva sugli interessi privati del ricorrente.</w:t>
      </w:r>
    </w:p>
    <w:p>
      <w:r>
        <w:rPr>
          <w:b/>
        </w:rPr>
        <w:t>E. 9</w:t>
      </w:r>
    </w:p>
    <w:p>
      <w:r>
        <w:t>In conclusione, pronunciando un divieto d’entrata di nove anni, la SEM ha violato il principio di proporzionalità nell’esercizio del suo potere d’apprez- zamento (art. 49 lett. a PA). Stando così le cose, in accordo con le consi- derazioni sopraesposte, il ricorso va parzialmente accolto e la decisione impugnata riformata, nel senso che la durata del divieto d’entrata è ridotta a sette anni, per cui lo stesso è valido dal 16 marzo 2021 al 15 marzo 2028.</w:t>
      </w:r>
    </w:p>
    <w:p>
      <w:r>
        <w:rPr>
          <w:b/>
        </w:rPr>
        <w:t>E. 10.1</w:t>
      </w:r>
    </w:p>
    <w:p>
      <w:r>
        <w:t>Le spese processuali sono di regola messe a carico della parte soc- 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w:t>
      </w:r>
    </w:p>
    <w:p>
      <w:r>
        <w:t>F-2164/2021 Pagina 13 della difficoltà della causa, del modo di condotta processuale e della situa- zione finanziaria delle parti (artt. 63 cpv. 4bis PA e 2 cpv. 1 TS-TAF). In concreto, siccome le conclusioni del ricorrente sono state parzialmente accolte in relazione alla fissazione della durata del divieto d’entrata (conclusione subordinata), è giusto porre a suo carico, a titolo di spese processuali, fr. 1’000.– da prelevare sull'anticipo di fr. 1'300.– da lui già versato. Di conseguenza, fr. 300.– saranno restituiti al ricorrente una volta che la presente sentenza sarà cresciuta in giudicato.</w:t>
      </w:r>
    </w:p>
    <w:p>
      <w:r>
        <w:rPr>
          <w:b/>
        </w:rPr>
        <w:t>E. 10.2</w:t>
      </w:r>
    </w:p>
    <w:p>
      <w:r>
        <w:t>In relazione alle spese ripetibili, considerato che il ricorso è parzial- mente ammesso, il ricorrente, che è patrocinato da una legale, ha diritto a un’indennità, ridotta in proporzione, per le spese necessarie derivanti dalla causa (artt. 64 cpv. 1 PA e 7 cpv. 1 e 2 TS-TAF). Dato che il ricorrente non ha presentato alcuna nota d’onorario, l’indennità deve essere fissata sulla base degli atti di causa (art. 14 cpv. 2 TS-TAF). Ora, alla luce dell’ampiezza e del contenuto del ricorso, nonché degli scritti successivi, è appropriato attribuire al ricorrente un’indennità ridotta per spese ripetibili di fr. 1’200.–. Si osservi ancora che la SEM, in quanto autorità federale, non ha diritto a un'indennità a titolo di ripetibili (art. 7 cpv. 3 TS-TAF). (dispositivo alla pagina seguente)</w:t>
      </w:r>
    </w:p>
    <w:p>
      <w:r>
        <w:t>F-2164/2021 Pagina 14 Per questi motivi, il Tribunale amministrativo federale pronun- cia: 1. Il ricorso è parzialmente accolto e la decisione impugnata del 16 marzo 2021 è riformata nel senso che la durata del divieto d’entrata è ridotta a sette anni, per cui esso è valido fino al 15 marzo 2028. 2. Per il resto, il ricorso è respinto. 3. Le spese processuali di fr. 1’000.– sono messe a carico del ricorrente e dedotte dall’anticipo di fr. 1'300.– da lui già versato. Al ricorrente saranno restituiti fr. 300.– dopo la crescita in giudicato della presente sentenza. 4. Al ricorrente è attribuita un’indennità ridotta per spese ripetibili pari a fr. 1'200.–, a carico della SEM. 5. Questa sentenza è comunicata al ricorrente e alla SEM.</w:t>
      </w:r>
    </w:p>
    <w:p>
      <w:r>
        <w:t>I rimedi giuridici sono menzionati alla pagina seguente.</w:t>
      </w:r>
    </w:p>
    <w:p>
      <w:r>
        <w:t>Il presidente del collegio: La cancelliera:</w:t>
      </w:r>
    </w:p>
    <w:p>
      <w:r>
        <w:t>Daniele Cattaneo Caroline Rausch</w:t>
      </w:r>
    </w:p>
    <w:p>
      <w:r>
        <w:t>F-2164/2021 Pagina 15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