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F-215/2018 vom 11. Februar 2020</w:t>
      </w:r>
    </w:p>
    <w:p>
      <w:r>
        <w:t>Bundesverwaltungsgericht, 2020-02-11, IT</w:t>
      </w:r>
    </w:p>
    <w:p>
      <w:r>
        <w:rPr>
          <w:b/>
        </w:rPr>
        <w:t xml:space="preserve">Quelle: </w:t>
      </w:r>
      <w:r>
        <w:t>https://mcp.opencaselaw.ch/entscheid/bvger_F-215_2018</w:t>
      </w:r>
    </w:p>
    <w:p>
      <w:r>
        <w:t>FR: TAF F-215/2018 du 11 février 2020</w:t>
      </w:r>
    </w:p>
    <w:p>
      <w:r>
        <w:t>IT: TAF F-215/2018 del 11 febbraio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28 novembre 2017,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destinatario della decisione impugnata ha presentato il suo ricorso tempestivamente e nel rispetto dei requisiti previsti dalla legge.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28 novembre 2017, pronunciante un divieto d'entrata in Svizzera e nel Liechtenstein di otto anni (28.11.2017 - 27.11.2025), di cui il ricorrente chiede, a titolo principale, l'annullamento puro e semplice oppure, a titolo sussidiario, la riduzione della durata ad un anno, alternativamente a cinque anni al massimo.</w:t>
      </w:r>
    </w:p>
    <w:p>
      <w:r>
        <w:rPr>
          <w:b/>
        </w:rPr>
        <w:t>E. 4</w:t>
      </w:r>
    </w:p>
    <w:p>
      <w:r>
        <w:t>L'ALC è applicabile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 6 a 11 allegato I ALC), per gli autonomi (art. 4 ALC e art. 12 a 16 allegato I ALC), per i prestatori di servizi (art. 5 ALC e art.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otto anni, si sia conformata alle esigenze poste dall'ALC, secondo il quale i diritti da esso conferiti, in particolare il diritto d'ingresso, possono essere limitati soltanto da misure giustificate da motivi di ordine pubblico, pubblica sicurezza e pubblica sanità (cfr. art.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della legge, rilevanti per la presente procedura, non abbiano subito alcuna modifica, materiale o redazionale, dal momento dell'emanazione della decisione impugnata, avvenuta il 28 novembre 2017, si utilizzerà in seguito la nuova abbreviazione LStrI (cfr. sentenza TAF F-2643/2017 del 4 febbraio 2019 consid. 4).</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Nel valutare la minaccia che emana da uno straniero sanzionato per avere violato la legislazione federale sugli stupefacenti, il Tribunale federale fa prova di un rigore particolare, tanto che questo genere di infrazioni è ritenuto costituire, in regola generale, una turbativa "molto grave" ("schwerwiegend",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tossicodipendenza dell'interessato (cfr. DTF 139 II 121 consid. 5.3 e 137 II 297 consid. 3.3, nonché le sentenze del Tribunale federale 2C_139/2013 dell'11 giugno 2013 consid. 6.2.3 e 2C_401/2012 del 18 settembre 2012 consid. 3.3, con i loro numerosi riferimenti).</w:t>
      </w:r>
    </w:p>
    <w:p>
      <w:r>
        <w:rPr>
          <w:b/>
        </w:rPr>
        <w:t>E. 6.6</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Nel prosieguo importa stabilire, innanzitutto, se le condizioni per emettere un divieto d'entrata in sé siano adempiute (minaccia almeno di una certa gravità); nell'affermativa, bisognerà precisare l'intensità della gravità della minaccia (minaccia solo di una certa gravità o minaccia grave) e quindi fissare, in conformità con il principio di proporzionalità, la durata del divieto d'entrata in funzione del complesso delle circostanze del caso.</w:t>
      </w:r>
    </w:p>
    <w:p>
      <w:r>
        <w:rPr>
          <w:b/>
        </w:rPr>
        <w:t>E. 8</w:t>
      </w:r>
    </w:p>
    <w:p>
      <w:r>
        <w:t>Prima di procedere in questo senso si deve tuttavia rilevare un'irregolarità formale che ha intaccato il procedimento amministrativo iniziato dalla SEM. Infatti, quest'ultima non ha sentito d'ufficio, motuproprio, il ricorrente prima di emanare il divieto d'entrata impugnato (cfr. consid. D e F). A questo proposito, trattandosi di una procedura federale retta, in particolare, dalla PA e dalla LStrI, la quale attribuisce alla SEM la competenza di rilasciare, di propria iniziativa, i divieti d'entrata (cfr. art. 67 cpv. 1 e 2 LStrI), non spettava di certo all'UMCT fissare spontaneamente, ossia senza incarico della SEM, un termine al ricorrente per pronunciarsi sulla "possibilità di proporre" alla stessa SEM l'emanazione di un divieto d'entrata, tanto più che l'UMCT non gode di una prerogativa del genere. Cionondimeno, verosimilmente per ragioni di celerità, la SEM ha fatto come se il diritto di audizione preliminare fosse stato, in definitiva, regolarmente garantito al ricorrente (cfr. art. 30 cpv. 1 PA e decisione impugnata: "Né dagli atti né dagli elementi forniti nell'ambito del diritto di essere sentiti [...]"). Ora, malgrado questa irregolarità formale che non ha peraltro censurato, il ricorrente ha risposto, il 10 agosto 2017, allo scritto dell'UMCT del 31 luglio 2017, spiegando brevemente i motivi per cui considerava che non fossero date le condizioni per spiccare un divieto d'entrata nei suoi confronti. In seguito, con la sua impugnativa, egli ha criticato la decisione della SEM compiutamente, per cui si deve ammettere che un'eventuale violazione del suo diritto di essere sentito, nel corso del procedimento amministrativo, sarebbe senz'altro stata sanata davanti a questo Tribunale che dispone di un pieno potere d'esame (cfr. consid. 2; si veda, per più ampi dettagli sul diritto di audizione preliminare, Patrick Sutter, in: Christoph Auer/Markus Müller/Benjamin Schindler [ed.], op. cit., nn. 1 a 6 ad art. 30 PA).</w:t>
      </w:r>
    </w:p>
    <w:p>
      <w:r>
        <w:rPr>
          <w:b/>
        </w:rPr>
        <w:t>E. 9</w:t>
      </w:r>
    </w:p>
    <w:p>
      <w:r>
        <w:t>Nella sua sentenza del 28 marzo 2014, la CAC ha accertato che il ricorrente ha acquistato, da autunno/fine 2011 ad inizio maggio 2013, almeno 814 gr. di cocaina, rivendendone 280/360 con un ricavo di fr. 14'000.-, e consumandone 390.03/470.03. In base a questi fatti, la CAC ha riconosciuto il ricorrente colpevole, da un lato, di un'infrazione grave alla legge federale sugli stupefacenti del 3 ottobre 1951 (LStup, RS 812.121), dato che egli sapeva o doveva presumere che il quantitativo di cocaina rivenduto poteva mettere in pericolo la salute di molte persone, e, dall'altro lato, di una contravvenzione alla stessa legge, condannandolo ad una pena detentiva di ventidue mesi, sospesa condizionalmente per tre anni (cfr. consid. B). Come giustamente sottolineato nella decisione impugnata, i reati in materia di sostanze stupefacenti rappresentano, di per sé, un pericolo serio e concreto per un interesse fondamentale della società, ossia la lotta al traffico di droga e al diffondersi del suo consumo, e per un bene giuridico essenziale come la salute pubblica. Ora, la misura della pena pronunciata dalla CAC, a prescindere dalla sua sospensione, è indiscutibilmente notevole e riflette la pericolosità per la salute pubblica dell'importante quantitativo di cocaina rivenduto a tredici consumatori abituali identificati e ad altre persone non identificate (cfr., a proposito della relazione tra la quantità e la pericolosità delle diverse droghe sul mercato per la salute di molte persone, la sentenza del Tribunale federale 6B_504/2019 del 29 luglio 2019 consid. 2.1). Inoltre, bisogna tenere conto del guadagno illecito considerevole ricavato con lo spaccio. Benché il ricorrente sia stato condannato una sola volta, egli ha violato in modo grave la LStup alla luce del quantitativo di cocaina acquistato ed effettivamente rivenduto, nonché del periodo relativamente lungo, di circa diciotto mesi, durante il quale lo spaccio ha avuto luogo, e non ha smesso di delinquere spontaneamente, ma il suo agire delittuoso è cessato soltanto in seguito all'intervento delle autorità penali, che gli hanno confiscato, il giorno del suo arresto, 67.97 gr. di cocaina. In questo senso, non si può dunque minimizzare il rischio che, se il ricorrente avesse la possibilità, a tutt'oggi, di recarsi liberamente in Ticino, potrebbe decidere di darsi nuovamente allo spaccio di sostanze stupefacenti illecite a scopo di lucro. Data l'importanza della gravità della potenziale infrazione, un rischio di recidiva, ancora attuale, non può che essere ammesso, e ciò senza che sia necessario prevedere, con quasi certezza, la sopravvenienza del reato in questione. Pertanto, la valutazione della SEM secondo cui il ricorrente costituisce non soltanto una minaccia reale, attuale e almeno di una certa gravità per l'ordine e la sicurezza pubblici svizzeri, ma anche una minaccia grave ai sensi della giurisprudenza (cfr. consid. 6.4), è plausibile e condivisibile, con la conseguenza che l'emissione di un divieto d'entrata anche superiore a cinque anni si rivela essere giustificata (art. 67 cpv. 3 LStrI in relazione con l'art. 5 allegato I ALC). Questo implica, peraltro, che un ammonimento, come misura alternativa, più lieve, al divieto d'entrata (cfr. art. 96 cpv. 2 LStrI), non entrava e non entra manifestamente in linea di conto. Ne deriva che, nella misura in cui il ricorrente chiede l'annullamento puro e semplice del divieto d'entrata o la riduzione della sua durata ad un anno, il ricorso è infondato.</w:t>
      </w:r>
    </w:p>
    <w:p>
      <w:r>
        <w:rPr>
          <w:b/>
        </w:rPr>
        <w:t>E. 10.1</w:t>
      </w:r>
    </w:p>
    <w:p>
      <w:r>
        <w:t>In generale, l'attività dello Stato deve rispondere al pubblico interesse ed essere proporzionata allo scopo (art. 5 cpv. 2 della Costituzione federale [Cost., RS 101]). In particolare, l'autorità non può adoperare, nell'eseguire le sue decisioni,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La valutazione della durata del divieto d'entrata, secondo le esigenze della proporzionalità, deve essere effettuata con riferimento al diritto alla libera circolazione (cfr. art. 3 ALC in relazione con gli art. 1 § 1, 3 § 2 e 5 § 1 allegato I ALC [cfr. consid. 4]) e, se del caso, al diritto al rispetto della vita privata e familiare del ricorrente (cfr. art. 8 della Convenzione europea dei diritti dell'uomo del 4 novembre 1950 [CEDU, RS 0.101]). A proposito dell'art. 8 cpv.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cpv.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cpv.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10.3</w:t>
      </w:r>
    </w:p>
    <w:p>
      <w:r>
        <w:t>In concreto, come già stabilito analizzando la questione della gravità della minaccia per l'ordine pubblico svizzero (cfr. consid. 9), il ricorrente ha leso un bene giuridico cardinale, ossia la salute pubblica, vendendo 280/360 gr. di cocaina, durante il periodo da autunno/fine 2011 ad inizio maggio 2013, a tredici consumatori abituali identificati e ad altre persone non identificate, da cui ha ricavato un guadagno illecito di fr. 14'000.-. Questa violazione grave, prolungata nel tempo, della LStup mostra che il ricorrente non ha fatto prova di nessuna particolare inibizione, di natura morale, prima di iniziare la sua attività delittuosa principalmente a scopo di lucro, e che ha continuato a delinquere fino a quando ha potuto, ossia fino al momento del suo arresto da parte delle autorità penali ticinesi. Questi elementi relativizzano chiaramente la circostanza che egli abbia subito una sola condanna in Svizzera e che sia incensurato in Italia. Peraltro, visto lo spirito razionale e calcolatore con cui ha agito, il ricorrente non riesce a convincere quando afferma che ha vissuto "un periodo di crisi", dovuto all'assenza di figli, durante il quale "ha sbandato verso l'illecito penale" (ricorso, pag. 3). Parallelamente a queste considerazioni che parlano piuttosto a favore di una conferma del divieto d'entrata di otto anni, bisogna tematizzare alcune altre circostanze suscettibili di influire, nel senso di una riduzione, su tale durata. Innanzitutto, il ricorrente ha risieduto con sua moglie in Ticino per diciassette anni, dal 2000 al 2017 (cfr. consid. A e E), e, fino all'autunno 2011, ossia durante un periodo di undici anni, non ha interessato la giustizia né in Svizzera, né in Italia, lavorando normalmente, vivendo la sua relazione di coppia e coltivando le sue relazioni sociali. In secondo luogo, il ricorrente ha consumato suppergiù la metà della cocaina acquistata, quantità che, non essendo stata rivenduta, non ha dunque, di per sé, messo in pericolo la salute di altre persone. In terzo luogo, il ricorrente ha rispettato il periodo di prova di tre anni fissatogli dalla CAC, ciò che può essere interpretato come un segno che egli non intenda più delinquere in futuro. In quarto luogo, non si può non rilevare che gli ultimi fatti delittuosi e il rilascio del divieto d'entrata sono separati da un lasso di tempo di circa quattro anni e sei mesi (cfr. consid. B e F). Ora, siccome il divieto d'entrata diviene effettivo soltanto dal momento in cui lo straniero interessato ha lasciato la Svizzera (cfr. DTAF 2017 VII/2 consid. 6.4), è legittimo chiedersi se la SEM non avesse dovuto attivarsi prima, considerato anche che l'UMCT aveva revocato al ricorrente il permesso C UE/AELS già il 6 giugno 2014, senza aspettare che la procedura di revoca del permesso fosse terminata, fermo restando che, se la revoca non fosse stata confermata in ultima istanza, la SEM avrebbe conseguentemente riesaminato la propria decisione. Non avendo agito in questo modo la SEM ha, per così dire, differito la data d'inizio del divieto d'entrata. Ora, procedendo ad una valutazione d'insieme dei gravi fatti penali sanzionati dalla CAC e delle altre circostanze appena rilevate, questo Tribunale è del parere che, sul piano del diritto degli stranieri, un divieto d'entrata di otto anni risulta essere, tutto sommato, proporzionato all'interesse pubblico della Svizzera ad intervenire efficacemente per prevenire la commissione, da parte del ricorrente, di ulteriori reati sul proprio territorio. Il risultato di questa ponderazione poggia, in modo preponderante, sulla notevole quantità di cocaina, variante da 280 a 360 gr., venduta a tredici consumatori abituali identificati e ad altre persone non identificate, che ha messo in pericolo la salute pubblica così gravemente, come mostrato al consid. 9, che il ricorrente non può trarre, in definitiva, nessun vantaggio dalle altre circostanze, a lui tendenzialmente favorevoli, sopraesposte. Tuttavia, è ancora necessario verificare se questa conclusione sia compatibile, per quanto applicabile, anche con l'art. 8 CEDU.</w:t>
      </w:r>
    </w:p>
    <w:p>
      <w:r>
        <w:rPr>
          <w:b/>
        </w:rPr>
        <w:t>E. 10.4</w:t>
      </w:r>
    </w:p>
    <w:p>
      <w:r>
        <w:t>A questo proposito non vi sono dubbi che il ricorrente può invocare l'art. 8 § 1 CEDU. Tuttavia, sul piano della sua vita privata (professionale), egli non fa valere interessi particolari, limitandosi a parlare di "legami personali" (ricorso, pag. 10), senza nessuna ulteriore precisazione. Non è quindi necessario occuparsi dell'applicazione dell'art. 8 § 1 CEDU sotto questo aspetto. Sul piano della vita familiare, si deve notare cha la moglie del ricorrente, cittadina italiana, è nata e cresciuta in Ticino, dove risiede tuttora, e che il ricorrente, pure cittadino italiano, ha vissuto con lei da metà giugno 2000. È quindi indubbio che il divieto d'entrata, sia esso di otto anni o di una durata inferiore, interferisce e interferirà nella vita di coppia, fermo restando che la ragione principale che ha condotto alla separazione fisica dei coniugi è la revoca del permesso di domicilio del ricorrente (cfr. consid. C). Tuttavia, per quanto concerne gli effetti del divieto d'entrata, appare senz'altro esigibile che la coppia si trasferisca in Italia, se il ricorrente e sua moglie lo ritengono più pratico per la loro relazione coniugale, ad esempio nella zona di confine. Nel quadro di una soluzione del genere, la moglie del ricorrente potrebbe lavorare in Ticino con un permesso di frontaliera UE/AELS, pur vivendo in Italia con suo marito. In questo senso non si ravvisano elementi che renderebbero impossibile o oltremodo difficile l'attuazione di questa scelta, nemmeno il fatto che la moglie del ricorrente non abbia la licenza di condurre e che accudisca suo padre anziano "totalmente dipendente da lei" (ricorso, pagg. 3 e 10). In definitiva, si deve ammettere che un divieto d'entrata di otto anni corrisponde ad un'ingerenza proporzionata nell'esercizio del diritto al rispetto della vita familiare, così come essa si configura presentemente, del ricorrente (cfr. art. 8 § 2 CEDU).</w:t>
      </w:r>
    </w:p>
    <w:p>
      <w:r>
        <w:rPr>
          <w:b/>
        </w:rPr>
        <w:t>E. 10.5</w:t>
      </w:r>
    </w:p>
    <w:p>
      <w:r>
        <w:t>Sulla scorta di tutto quanto precede, la ponderazione dell'interesse pubblico della Svizzera a tenere lontano dal suo territorio il ricorrente e l'interesse privato di quest'ultimo ad usufruire della libera circolazione secondo l'ALC, essenzialmente facendo uso del suo diritto d'ingresso in Svizzera per intrattenere la sua relazione coniugale (cfr. art. 1 § 1 allegato I ALC e art. 8 cpv. 1 CEDU), permette di concludere che la durata del divieto d'entrata di otto anni, benché possa sembrare severa al ricorrente, è proporzionata.</w:t>
      </w:r>
    </w:p>
    <w:p>
      <w:r>
        <w:rPr>
          <w:b/>
        </w:rPr>
        <w:t>E. 11</w:t>
      </w:r>
    </w:p>
    <w:p>
      <w:r>
        <w:t>Di conseguenza, pronunciando un divieto d'entrata di otto anni, la SEM non ha violato l'art. 67 cpv. 3 LStrI e il principio di proporzionalità nell'esercizio del suo potere d'apprezzamento (art. 49 lett. a PA). Stando così le cose, in accordo con le considerazioni sopraesposte, il ricorso deve essere respinto e la decisione impugnata confermata.</w:t>
      </w:r>
    </w:p>
    <w:p>
      <w:r>
        <w:rPr>
          <w:b/>
        </w:rPr>
        <w:t>E. 12</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il ricorrente è stato esentato dal versamento dell'anticipo relativo alle presunte spese processuali (cfr. consid. J), per cui non si prelevano spese processuali. Dato l'esito negativo del ricorso, non si attribuiscono indennità per spese ripetibili (art. 64 cpv. 1 PA a contrario).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