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F-2152/2021 vom 15. Dezember 2021</w:t>
      </w:r>
    </w:p>
    <w:p>
      <w:r>
        <w:t>Bundesverwaltungsgericht, 2021-12-15, DE</w:t>
      </w:r>
    </w:p>
    <w:p>
      <w:r>
        <w:rPr>
          <w:b/>
        </w:rPr>
        <w:t xml:space="preserve">Quelle: </w:t>
      </w:r>
      <w:r>
        <w:t>https://mcp.opencaselaw.ch/entscheid/bvger_F-2152_2021</w:t>
      </w:r>
    </w:p>
    <w:p>
      <w:r>
        <w:t>FR: TAF F-2152/2021 du 15 décembre 2021</w:t>
      </w:r>
    </w:p>
    <w:p>
      <w:r>
        <w:t>IT: TAF F-2152/2021 del 15 dicembre 2021</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und Art.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Das SEM verfügt Einreiseverbote gegenüber weggewiesenen Ausländerinnen und Ausländern, wenn die Wegweisung nach Artikel 64d Abs. 2 Buchstaben a-c sofort vollstreckt wird (Art. 67 Abs. 1 Bst. a AIG) oder die betroffene Person der Ausreiseverpflichtung nicht innert Frist nachgekommen ist (Art. 67 Abs. 1 Bst. b AIG). Es kann sodann gestützt auf Art. 67 Abs. 2 AIG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AIG). Schliesslich kann die Behörde aus wichtigen Gründen von der Verhängung eines Einreiseverbots absehen oder ein Einreiseverbot vollständig oder vorübergehend aufheben (Art. 67 Abs. 5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Ob eine Gefährdung der öffentlichen Sicherheit und Ordnung vorliegt, ist gestützt auf sämtliche Umstände des Einzelfalles im Sinne einer Prognose zu beurteilen. Dabei ist naturgemäss primär das vergangene Verhalten der betroffenen Person zu berücksichtigen.</w:t>
      </w:r>
    </w:p>
    <w:p>
      <w:r>
        <w:rPr>
          <w:b/>
        </w:rPr>
        <w:t>E. 3.3</w:t>
      </w:r>
    </w:p>
    <w:p>
      <w:r>
        <w:t>Einen Verstoss gegen die öffentliche Sicherheit und Ordnung im Sinne von Art. 67 Abs. 2 Bst. a AIG begeht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dar, um von einer Fernhaltemassnahme abzusehen.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3.4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begründete das gegenüber dem Beschwerdeführer verhängte Einreiseverbot mit dessen Erwerbstätigkeit in der Schweiz. Die Ausübung einer nicht bewilligten Erwerbstätigkeit stelle einen Verstoss gegen die Einreisevoraussetzungen des Ausländerrechts dar, womit auch gegen die öffentliche Sicherheit und Ordnung im Sinne von Art. 67 Abs. 2 Bst. a AIG i.V.m. Art. 77a Abs. 1 Bst. a und Abs. 2 VZAE verstossen worden sei.</w:t>
      </w:r>
    </w:p>
    <w:p>
      <w:r>
        <w:rPr>
          <w:b/>
        </w:rPr>
        <w:t>E. 4.2</w:t>
      </w:r>
    </w:p>
    <w:p>
      <w:r>
        <w:t>Der Beschwerdeführer räumt seinerseits auf Rechtsmittelebene ein, am 22. März 2021 in der Schweiz mit einem unverzollten Beförderungsmittel verbotenerweise einen Inlandtransport durchgeführt zu haben. Anlässlich seiner Kontrolle durch das Grenzwachtkorps am 28. März 2021 habe er den Lieferwagen aber mit Barhinterlage über Fr. 1'765.55 verzollt. Zudem werde gegen ihn in dieser Angelegenheit kein Strafverfahren geführt.</w:t>
      </w:r>
    </w:p>
    <w:p>
      <w:r>
        <w:rPr>
          <w:b/>
        </w:rPr>
        <w:t>E. 5.1</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Dies unter anderem, um die Möglichkeiten der Umgehung der Zulassungsvoraussetzungen gemäss Art. 18 - 26 AIG zu verringern (vgl. Marc Spescha, in: Spescha et al. [Hrsg.], Kommentar Migrationsrecht, 5. Aufl. 2019, N. 2 zu Art. 11 AIG). Als Erwerbstätigkeit gilt somit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Ohne Belang für die Qualifikation als (unselbständige) Erwerbstätigkeit ist, ob die Beschäftigung nur stunden- oder tageweise oder vorübergehend ausgeübt wird (Art. 1a Abs. 1 VZAE; vgl. statt vieler: Urteil des BVGer F-1827/2018 vom 30. September 2019 E. 6.3.4).</w:t>
      </w:r>
    </w:p>
    <w:p>
      <w:r>
        <w:rPr>
          <w:b/>
        </w:rPr>
        <w:t>E. 5.2</w:t>
      </w:r>
    </w:p>
    <w:p>
      <w:r>
        <w:t>Der Beschwerdeführer bestreitet nicht, in der Schweiz eine Erwerbstätigkeit ausgeübt zu haben, ohne über die dazu erforderliche Bewilligung zu verfügen. Er anerkannte die ihm zur Last gelegten Tatbestände der rechtswidrigen Einreise ohne Visum, des rechtswidrigen Aufenthalts, der Erwerbstätigkeit ohne Bewilligung sowie der Widerhandlung gegen die Verkehrszulassungsverordnung bereits in der Einvernahme vom 28. März 2021 und akzeptierte soweit ersichtlich auch den in diesem Zusammenhang ergangenen Strafbefehl vom 6. Mai 2021. Entsprechend besteht für das Bundesverwaltungsgericht kein Anlass, von der Erkenntnis der Strafbehörden abzuweichen, zumal der Beschwerdeführer auch auf Beschwerdeebene (bis auf die für das Gericht nicht nachvollziehbare Behauptung, wonach gegen ihn «kein Strafverfahren geführt» werde) nichts Gegenteiliges geltend macht. Darüber hinaus ist dem Strafbefehl vom 6. Mai 2021 zu entnehmen, dass der Beschwerdeführer bereits am 20. Dezember 2019 durch die Staatsanwaltschaft Zofingen-Kulm (gemäss den Feststellungen der Vorinstanz in deren Vernehmlassung wegen Übertretung der Chauffeurverordnung ARV1 und Widerhandlungen gegen das SVG) zu einer bedingten Geldstrafe von 90 Tagessätzen zu je Fr. 100.- (Fr. 9'000.-) verurteilt worden war (SEM-act. unpaginiert). Es ist folglich erstellt, dass der Beschwerdeführer mit seinem Verhalten wiederholt gegen die öffentliche Sicherheit und Ordnung in der Schweiz verstossen und den Fernhaltegrund nach Art. 67 Abs. 2 Bst. a erster Halbsatz AIG gesetzt hat.</w:t>
      </w:r>
    </w:p>
    <w:p>
      <w:r>
        <w:rPr>
          <w:b/>
        </w:rPr>
        <w:t>E. 5.3</w:t>
      </w:r>
    </w:p>
    <w:p>
      <w:r>
        <w:t>Tritt hinzu, dass der Beschwerdeführer mit Verfügung vom 29. März 2021 von der kantonalen Migrationsbehörde aus der Schweiz weggewiesen und dabei gestützt auf Art. 64d Abs. 2 Bst. a AIG die sofortige Vollstreckung angeordnet wurde, was gemäss Art. 67 Abs. 1 Bst. a AIG grundsätzlich zwingend zur Verhängung einer Fernhaltemassnahme führen muss.</w:t>
      </w:r>
    </w:p>
    <w:p>
      <w:r>
        <w:rPr>
          <w:b/>
        </w:rPr>
        <w:t>E. 5.4</w:t>
      </w:r>
    </w:p>
    <w:p>
      <w:r>
        <w:t>Der Beschwerdeführer hat nach dem bisher Gesagten mehrere Gründe gesetzt, welche die Verhängung einer Fernhaltemassnahme rechtfertigen können.</w:t>
      </w:r>
    </w:p>
    <w:p>
      <w:r>
        <w:rPr>
          <w:b/>
        </w:rPr>
        <w:t>E. 6.1</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(Art. 5 Abs. 2 BV, Art. 96 AIG; BGE 139 II 121 6.5.1; BVGE 2017 VII/2 E. 4.5; 2016/33 E. 9; 2014/20 E. 8.1).</w:t>
      </w:r>
    </w:p>
    <w:p>
      <w:r>
        <w:rPr>
          <w:b/>
        </w:rPr>
        <w:t>E. 6.2</w:t>
      </w:r>
    </w:p>
    <w:p>
      <w:r>
        <w:t>Mit seinem Verhalten hat der Beschwerdeführer nach dem bisher Gesagten gegen ausländerrechtliche und andere gesetzliche Bestimmungen verstossen. Dabei gilt zu berücksichtigen, dass insbesondere der Einhaltung ausländerrechtlicher Normen eine zentrale Bedeutung zukommt, geht es doch für die zuständigen Behörden darum, eine funktionierende Rechtsordnung gewährleisten zu können (BVGE 2014/20 E. 8.2; Urteil des BVGer F-5785/2019 vom 30. April 2020 E. 7.2). Vorliegend besteht daher bereits aus generalpräventiven Gründen ein gewichtiges Interesse an der Fernhaltung des Beschwerdeführers. Die Verhängung einer solchen Massnahme scheint aber auch aus spezialpräventiven Gründen gerechtfertigt: Der Beschwerdeführer hatte im Zusammenhang mit seiner beruflichen Tätigkeit in der Schweiz bereits am 20. Dezember 2019 eine Geldstrafe erwirkt und war anlässlich einer Kontrolle durch das Grenzwachtkorps am 26. Januar 2021 wegen Verstosses gegen die Einreisebestimmungen gerügt und aus der Schweiz weggewiesen worden (so bestätigt durch den Beschwerdeführer in der Einvernahme vom 28. März 2021 [SEM-act. 1/37]). Er hatte also Kenntnis darüber, dass seine Tätigkeit in der Schweiz in verschiedener Hinsicht nicht vorschriftskonform war, setzte sich in der Folge aber darüber hinweg.</w:t>
      </w:r>
    </w:p>
    <w:p>
      <w:r>
        <w:rPr>
          <w:b/>
        </w:rPr>
        <w:t>E. 6.3</w:t>
      </w:r>
    </w:p>
    <w:p>
      <w:r>
        <w:t>Private Interessen, die eine Aufhebung oder eine Reduktion des Einreiseverbots rechtfertigen würden, macht der Beschwerdeführer weder geltend, noch sind solche aus den Akten ersichtlich.</w:t>
      </w:r>
    </w:p>
    <w:p>
      <w:r>
        <w:rPr>
          <w:b/>
        </w:rPr>
        <w:t>E. 6.4</w:t>
      </w:r>
    </w:p>
    <w:p>
      <w:r>
        <w:t>Im Ergebnis ist daher festzuhalten, dass das angefochtene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(vgl. anstelle vieler Urteil F-5785/2019 vom 30. April 2020 E. 7.4 m.H.). Schliesslich bleibt zu erwähnen, dass die beantragte Umwandlung der Fernhaltemassnahme in eine Geldstrafe gesetzlich nicht möglich ist (vgl. dazu Urteile des BVGer F-2410/2018 vom 31. Oktober 2018 E. 4.5; F-3002/2016 vom 10. Juli 2017 E. 5.4).</w:t>
      </w:r>
    </w:p>
    <w:p>
      <w:r>
        <w:rPr>
          <w:b/>
        </w:rPr>
        <w:t>E. 7</w:t>
      </w:r>
    </w:p>
    <w:p>
      <w:r>
        <w:t>Im Weiteren verhältnismässig, zur Wahrung der Interessen der Gesamtheit aller Schengen-Staaten notwendig und nicht zu beanstanden ist schliesslich die Ausschreibung des Einreiseverbots im Schengener Informationssystem (vgl. Art. 21 i.V.m. Art. 24 Ziff. 3 SIS-II-Verordnung), geht es doch in Konstellationen wie der vorliegenden um zentrale Bestimmungen der migrationsrechtlichen Ordnung (vgl. Urteile des BVGer F-5665/2019 vom 21. Juli 2021 E. 7; F-3451/2018 vom 22. Januar 2020 E. 8).</w:t>
      </w:r>
    </w:p>
    <w:p>
      <w:r>
        <w:rPr>
          <w:b/>
        </w:rPr>
        <w:t>E. 8</w:t>
      </w:r>
    </w:p>
    <w:p>
      <w:r>
        <w:t>Aus den vorstehenden Erwägungen ergibt sich, dass die angefochtene Verfügung im Lichte von Art. 49 VwVG nicht zu beanstanden ist. Die Beschwerde ist demzufolge abzuweisen.</w:t>
      </w:r>
    </w:p>
    <w:p>
      <w:r>
        <w:rPr>
          <w:b/>
        </w:rPr>
        <w:t>E. 9</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