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F-2147/2026 vom 26. März 2026</w:t>
      </w:r>
    </w:p>
    <w:p>
      <w:r>
        <w:t>Bundesverwaltungsgericht, 2026-03-26, DE</w:t>
      </w:r>
    </w:p>
    <w:p>
      <w:r>
        <w:rPr>
          <w:b/>
        </w:rPr>
        <w:t xml:space="preserve">Quelle: </w:t>
      </w:r>
      <w:r>
        <w:t>https://mcp.opencaselaw.ch/entscheid/bvger_F-2147_2026</w:t>
      </w:r>
    </w:p>
    <w:p>
      <w:r>
        <w:t>FR: TAF F-2147/2026 du 26 mars 2026</w:t>
      </w:r>
    </w:p>
    <w:p>
      <w:r>
        <w:t>IT: TAF F-2147/2026 del 26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4 Dublin-III-VO grundsätzlich Bulgarien für die Behandlung des Asylgesuchs des Beschwerdeführers zuständig ist, dass das bulgarische Asylsystem rechtsprechungsgemäss keine systemischen Mängel aufweist, aufgrund derer die Zuständigkeit gemäss Art. 3 Abs. 2 Dublin-III-VO auf die Schweiz überginge (vgl. Referenzurteil des BVGer F-7195/2018 vom 11. Februar 2020 E. 6.6.7; jüngst Urteil des BVGer F-987/2026 vom 24. März 2026 E. 2.3), und dass vorliegend keine völkerrechtlichen Vollzugshindernisse ersichtlich sind, welche die Schweiz zu einem Selbsteintritt nach Art. 17 Abs. 1 Dublin-III-VO verpflichten würden. Darüber hinaus hat die Vorinstanz in rechtsfehlerfreier Ausübung des ihr nach Art. 17 Abs. 1 Dublin-III-VO und Art. 29a Abs. 3 AsylV 1 zukommenden Ermessens von einem freiwilligen Selbsteintritt der Schweiz abgesehen. Sie ist demnach zu Recht in Anwendung von Art. 31a Abs. 1 Bst. b AsylG auf das Asylgesuch des Beschwerdeführers nicht eingetreten und hat in Anwendung von Art. 44 AsylG seine Wegweisung nach Bulgarien angeordnet. Zur näheren Begründung wird auf die Erwägungen der Vorinstanz verwiesen.</w:t>
      </w:r>
    </w:p>
    <w:p>
      <w:r>
        <w:rPr>
          <w:b/>
        </w:rPr>
        <w:t>E. 2.2</w:t>
      </w:r>
    </w:p>
    <w:p>
      <w:r>
        <w:t>Was der Beschwerdeführer auf Rechtsmittelebene vorbringt, vermag nichts an der Richtigkeit der angefochtenen Verfügung zu ändern. Insbesondere kann er aus dem Umstand, dass er vom Jahr 1995 bis zu seiner freiwilligen Ausreise im Jahr 2014 in der Schweiz gelebt hat, nichts zu seinen Gunsten ableiten. Es ist daran zu erinnern, dass weder die Dublin-III-VO noch andere völkerrechtliche Bestimmungen den Gesuchstellenden ein Recht einräumen, den für die Durchführung des Asylverfahrens zuständigen Staat selbst frei zu wählen (BVGE 2010/45 E. 8.3).</w:t>
      </w:r>
    </w:p>
    <w:p>
      <w:r>
        <w:rPr>
          <w:b/>
        </w:rPr>
        <w:t>E. 2.3</w:t>
      </w:r>
    </w:p>
    <w:p>
      <w:r>
        <w:t>Soweit der Beschwerdeführer - ohne dies weiter zu begründen - die Rückweisung der Sache zur Neubeurteilung beantragt, ist darauf hinzuweisen, dass die Vorinstanz den rechtserheblichen Sachverhalt angemessen abgeklärt und in der angefochtenen Verfügung berücksichtigt hat. Der entsprechende Eventualantrag ist abzuweisen.</w:t>
      </w:r>
    </w:p>
    <w:p>
      <w:r>
        <w:rPr>
          <w:b/>
        </w:rPr>
        <w:t>E. 3</w:t>
      </w:r>
    </w:p>
    <w:p>
      <w:r>
        <w:t>Nach dem Gesagten ist die angefochtene Verfügung nicht zu beanstanden (Art. 106 AsylG) und die Beschwerde ist abzuweisen. Mit dem vorliegenden Urteil fällt der am 25. März 2026 angeordnete Vollzugsstopp dahin. Das Gesuch um Gewährung der aufschiebenden Wirkung der Beschwerde ist mit heutigem Entscheid gegenstandslos geworden.</w:t>
      </w:r>
    </w:p>
    <w:p>
      <w:r>
        <w:rPr>
          <w:b/>
        </w:rPr>
        <w:t>E. 4</w:t>
      </w:r>
    </w:p>
    <w:p>
      <w:r>
        <w:t>Die Begehren erweisen sich als aussichtslos, weshalb das Gesuch um unentgeltliche Rechtspflege (Art. 65 Abs. 1 und 2 VwVG) abzuweisen ist.</w:t>
      </w:r>
    </w:p>
    <w:p>
      <w:r>
        <w:rPr>
          <w:b/>
        </w:rPr>
        <w:t>E. 5</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6</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