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F-2143/2026 vom 26. März 2026</w:t>
      </w:r>
    </w:p>
    <w:p>
      <w:r>
        <w:t>Bundesverwaltungsgericht, 2026-03-26, FR</w:t>
      </w:r>
    </w:p>
    <w:p>
      <w:r>
        <w:rPr>
          <w:b/>
        </w:rPr>
        <w:t xml:space="preserve">Quelle: </w:t>
      </w:r>
      <w:r>
        <w:t>https://mcp.opencaselaw.ch/entscheid/bvger_F-2143_2026</w:t>
      </w:r>
    </w:p>
    <w:p>
      <w:r>
        <w:t>FR: TAF F-2143/2026 du 26 mars 2026</w:t>
      </w:r>
    </w:p>
    <w:p>
      <w:r>
        <w:t>IT: TAF F-2143/2026 del 26 marzo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(art. 105 LAsi [RS 142.31] en lien avec les art. 31, 32 et 33 let. d LTAF et l'art. 5 PA). Il statue définitivement (art. 1 al. 2 LTAF en lien avec l'art. 83 let. d ch. 1 LTF).</w:t>
      </w:r>
    </w:p>
    <w:p>
      <w:r>
        <w:rPr>
          <w:b/>
        </w:rPr>
        <w:t>E. 1.2</w:t>
      </w:r>
    </w:p>
    <w:p>
      <w:r>
        <w:t>La recourante a qualité pour recourir et le présent recours a été formé dans la forme et le délai prescrits par la loi (art. 48 al. 1 et 52 al. 1 PA, applicables par renvoi de l'art. 37 LTAF, et art. 108 al. 3 LAsi). Il est partant recevable.</w:t>
      </w:r>
    </w:p>
    <w:p>
      <w:r>
        <w:rPr>
          <w:b/>
        </w:rPr>
        <w:t>E. 1.3</w:t>
      </w:r>
    </w:p>
    <w:p>
      <w:r>
        <w:t>S'avérant manifestement infondé, le recours est traité dans le cadre d'une procédure à juge unique, avec l'accord d'un second juge (art. 111 let. e LAsi), sans échange d'écritures et avec une motivation sommaire (art. 111a LAsi).</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L'Etat responsable de l'examen d'une demande de protection internationale en vertu du règlement est tenu de prendre en charge - dans les conditions prévues aux art. 21, 22 et 29 - le demandeur qui a introduit une demande dans un autre Etat membre (art. 18 par. 1 let. a RD III). Selon l'art. 12 par. 4 RD III, lorsque le demandeur est titulaire d'un visa périmé depuis moins de six mois lui ayant effectivement permis d'entrer sur le territoire d'un Etat membre, les para. 1, 2 et 3 de l'art. 12 RD III sont applicables aussi longtemps que le demandeur n'a pas quitté le territoire des Etats membres. Si le demandeur est titulaire d'un visa en cours de validité, l'Etat membre qui l'a délivré est responsable de l'examen de la demande de protection internationale (art. 12 par. 2 RD III).</w:t>
      </w:r>
    </w:p>
    <w:p>
      <w:r>
        <w:rPr>
          <w:b/>
        </w:rPr>
        <w:t>E. 2.5</w:t>
      </w:r>
    </w:p>
    <w:p>
      <w:r>
        <w:t>Fondé sur les informations contenues dans le CS-VIS ainsi que les déclarations de l'intéressée, le SEM a soumis, dans le délai de l'art. 21 par. 1 RD III, une demande de prise en charge aux autorités autrichiennes, qui l'ont acceptée, dans le délai de l'art. 22 par. 1 RD III. La responsabilité de l'Autriche est dès lors établie. Cette responsabilité n'est pas contestée par la recourante.</w:t>
      </w:r>
    </w:p>
    <w:p>
      <w:r>
        <w:rPr>
          <w:b/>
        </w:rPr>
        <w:t>E. 3</w:t>
      </w:r>
    </w:p>
    <w:p>
      <w:r>
        <w:t>A l'occasion de son entretien Dublin, l'intéressée s'est opposée à son transfert au motif qu'elle avait traversé plusieurs pays dans le but de venir en Suisse, afin d'y être protégée, et que cela ne faisait pas de sens de la renvoyer en Autriche. Il lui était en outre compliqué de communiquer avec les ressortissants autrichiens, dès lors qu'elle ne parlait pas leur langue. Dans son mémoire de recours, l'intéressée a fait valoir qu'en Autriche, elle risquait la déportation vers le Sénégal et qu'elle craignait pour sa vie si elle devait y retourner. Elle a aussi indiqué avoir besoin de rester en Suisse pour résoudre ses « difficultés ».</w:t>
      </w:r>
    </w:p>
    <w:p>
      <w:r>
        <w:rPr>
          <w:b/>
        </w:rPr>
        <w:t>E. 4.1</w:t>
      </w:r>
    </w:p>
    <w:p>
      <w:r>
        <w:t>Il sied de rappeler, en premier lieu, que le règlement Dublin III ne confère pas aux demandeurs d'asile le droit de choisir l'Etat membre offrant, à leur avis, les meilleures conditions d'accueil comme Etat responsable de l'examen de leur demande d'asile (cf. ATAF 2017 VI/5 consid. 8.2.1, et réf. cit. ; 2010/45 consid. 8.3).</w:t>
      </w:r>
    </w:p>
    <w:p>
      <w:r>
        <w:rPr>
          <w:b/>
        </w:rPr>
        <w:t>E. 4.2</w:t>
      </w:r>
    </w:p>
    <w:p>
      <w:r>
        <w:t>De jurisprudence constante, le Tribunal considère qu'il n'y a pas de raisons sérieuses de penser que la procédure d'asile et les conditions d'accueil en Autriche présentent des défaillances systémiques s'opposant à un transfert vers cet Etat (cf. arrêts du TAF F-9630/2025 du 23 décembre 2025 consid. 5.1 ; F-3064/2025 du 8 mai 2025 p. 5 ; F-3176/2025 du 12 mai 2025 consid. 2.1). Le respect par l'Autriche de ses obligations tirées du droit international public et du droit européen, en matière de procédure d'asile et de conditions d'accueil, en particulier le principe de non-refoulement énoncé à l'art. 33 de la Convention du 28 juillet 1951 relative au statut des réfugiés (CR, RS 0.142.30) et l'interdiction des mauvais traitements ancrée aux art. 3 CEDH, 4 Charte UE ainsi que 3 et 16 de la Convention du 10 décembre 1984 contre la torture et autres peines ou traitements cruels, inhumains ou dégradants (CCT, RS 0.105), demeure ainsi présumé.</w:t>
      </w:r>
    </w:p>
    <w:p>
      <w:r>
        <w:rPr>
          <w:b/>
        </w:rPr>
        <w:t>E. 4.3</w:t>
      </w:r>
    </w:p>
    <w:p>
      <w:r>
        <w:t>Dans le cas d'espèce, la recourante n'a pas fait valoir d'argument ou de moyen de preuve concret susceptible de remettre en question cette jurisprudence. Partant, l'art. 3 par. 2 al. 2 RD III ne saurait trouver application dans le cas d'espèce.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5.2</w:t>
      </w:r>
    </w:p>
    <w:p>
      <w:r>
        <w:t>S'agissant des craintes de l'intéressée d'être renvoyée dans son pays d'origine, celles-ci sont sans pertinence sur l'issue de la présente cause. En effet, dans la mesure où c'est à bon droit que le SEM a constaté que l'Autriche était compétente pour le traitement de la demande d'asile de la recourante et que la procédure d'asile y était exempte de défaillances systémiques, il n'appartient pas aux autorités suisses de se prononcer sur la question d'un éventuel renvoi de l'intéressée vers le Sénégal, respectivement d'une violation du principe de non-refoulement (cf. arrêt de la Cour de justice de l'Union européenne du 30 novembre 2023, affaires jointes C-228/21, C-254/21, C-297/21, C-315/21 et C-328/21, point 2 du dispositif). Il appartiendra à la recourante d'effectuer les démarches nécessaires à l'ouverture d'une procédure d'asile en Autriche et de se prévaloir de ses motifs dans ce cadre.</w:t>
      </w:r>
    </w:p>
    <w:p>
      <w:r>
        <w:rPr>
          <w:b/>
        </w:rPr>
        <w:t>E. 5.3</w:t>
      </w:r>
    </w:p>
    <w:p>
      <w:r>
        <w:t>En ce qui concerne l'état de santé de la recourante, celle-ci a notamment indiqué lors de son entretien Dublin souffrir de [nom de la maladie], découverte en 2019. Il ressort du rapport médical du (...) février 2026 qu'elle a consulté en Suisse pour ce problème de santé allégué. Il ne ressort toutefois pas dudit rapport que l'état de santé de l'intéressée serait à ce point sérieux qu'il s'opposerait à un transfert vers l'Autriche (cf. arrêt de la Cour EDH, Paposhvili c. Belgique [GC], du 13 décembre 2016, req. 41738/10, confirmé dans l'arrêt Savran c. Danemark [GC], du 7 décembre 2021, req. 57467/15 ; ATAF 2017 VI/7 consid. 6.2 et les réf. cit.), pays qui dispose de structures médicales comparables à la Suisse (cf., notamment, arrêts du TAF F-910/2026 du 11 février 2026 consid. 3.3.2 ; F-7813/2024 du 23 septembre 2025 consid. 10.4). Comme il l'a mentionné dans sa décision (p. 5), le SEM se chargera de transmettre à ses homologues autrichiens les informations médicales pertinentes en application des art. 31 et 32 RD III.</w:t>
      </w:r>
    </w:p>
    <w:p>
      <w:r>
        <w:rPr>
          <w:b/>
        </w:rPr>
        <w:t>E. 5.4</w:t>
      </w:r>
    </w:p>
    <w:p>
      <w:r>
        <w:t>Il s'ensuit que le transfert de la recourante vers l'Autriche n'est pas contraire aux obligations de la Suisse relevant du droit international public, ni au droit national. 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w:t>
      </w:r>
    </w:p>
    <w:p>
      <w:r>
        <w:t>Au vu de ce qui précède, c'est à juste titre que le SEM n'est pas entré en matière sur la demande d'asile de l'intéressée,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7.1</w:t>
      </w:r>
    </w:p>
    <w:p>
      <w:r>
        <w:t>Dans la mesure où les conclusions du recours étaient d'emblée vouées à l'échec, la demande d'assistance judiciaire de la recourante doit être rejetée (art. 65 PA). La demande d'octroi de l'effet suspensif est par ailleurs sans objet, dès lors qu'il est statué immédiatement.</w:t>
      </w:r>
    </w:p>
    <w:p>
      <w:r>
        <w:rPr>
          <w:b/>
        </w:rPr>
        <w:t>E. 7.2</w:t>
      </w:r>
    </w:p>
    <w:p>
      <w:r>
        <w:t>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