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F-2133/2025 vom 1. April 2025</w:t>
      </w:r>
    </w:p>
    <w:p>
      <w:r>
        <w:t>Bundesverwaltungsgericht, 2025-04-01, DE</w:t>
      </w:r>
    </w:p>
    <w:p>
      <w:r>
        <w:rPr>
          <w:b/>
        </w:rPr>
        <w:t xml:space="preserve">Quelle: </w:t>
      </w:r>
      <w:r>
        <w:t>https://mcp.opencaselaw.ch/entscheid/bvger_F-2133_2025</w:t>
      </w:r>
    </w:p>
    <w:p>
      <w:r>
        <w:t>FR: TAF F-2133/2025 du 1 avril 2025</w:t>
      </w:r>
    </w:p>
    <w:p>
      <w:r>
        <w:t>IT: TAF F-2133/2025 del 1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18 Abs. 1 Bst. d Dublin-III-VO grundsätzlich Deutschland für die Durchführung des Asyl- und Wegweisungsverfahrens des Beschwerdeführers zuständig ist, dass das deutsche Asylsystem rechtsprechungsgemäss keine systemischen Mängel aufweist (vgl. statt vieler: Urteil des BVGer F-2196/2025 vom 21. März 2025 E. 3.1 m.H.),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Sie hat zu Recht festgestellt, dass die Mutter und Schwester des volljährigen Beschwerdeführers nicht als Familienangehörige gemäss Art. 2 Bst. g Dublin-III-VO gelten. Darüber hinaus hat sie mit zutreffender Begründung ein Abhängigkeitsverhältnis zwischen dem Beschwerdeführer und seiner Mutter im Sinn von Art. 16 Abs. 1 Dublin-III-VO verneint. Schliesslich hat sie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dessen Wegweisung nach Deutschland angeordnet. Zur näheren Begründung ist auf die ausführlichen vorinstanzlichen Erwägungen zu verweisen.</w:t>
      </w:r>
    </w:p>
    <w:p>
      <w:r>
        <w:rPr>
          <w:b/>
        </w:rPr>
        <w:t>E. 2.2.1</w:t>
      </w:r>
    </w:p>
    <w:p>
      <w:r>
        <w:t>Die Ausführungen auf Beschwerdeebene vermögen an der Richtigkeit der angefochtenen Verfügung nichts zu ändern. Zunächst ist festzuhalten, dass das Verwandtschaftsverhältnis zwischen dem Beschwerdeführer und seiner Mutter weder nachgewiesen noch glaubhaft gemacht ist. Darüber hinaus sind den auf Beschwerdeebene eingereichten Arztberichten betreffend die Mutter des Beschwerdeführers keine Diagnosen (Pangonarthrose links, moderate Gonarthrose medial betont rechts, generalisiertes Schmerzsyndrom, Platt-/Senkfuss beidseits, metabolisches Syndrom, Gastritis) zu entnehmen, welche auf eine schwere Erkrankung im Sinn von Art. 16 Abs. 1 Dublin-III-VO hinweisen würden. Folglich ist ein rechtlich relevantes Abhängigkeitsverhältnis, welches auf Ausnahmesituationen besonderer Hilfsbedürftigkeit beschränkt ist (vgl. Urteile des BVGer F-3236/2024 vom 30. Januar 2025 E. 4.3; F-1440/2024 vom 12. März 2024 E. 6.2; je m.H.; siehe ferner Filzwieser/Sprung, Dublin III-Verordnung, 2014, K3 zu Art. 16), zwischen dem Beschwerdeführer und seiner Mutter zu verneinen.</w:t>
      </w:r>
    </w:p>
    <w:p>
      <w:r>
        <w:rPr>
          <w:b/>
        </w:rPr>
        <w:t>E. 2.2.2</w:t>
      </w:r>
    </w:p>
    <w:p>
      <w:r>
        <w:t>Soweit der Beschwerdeführer eine flüchtlingsrechtlich relevante Gefährdung im Irak geltend macht, ist festzuhalten, dass die Prüfung von Fluchtgründen nicht Gegenstand des vorliegenden, einzig auf die Prüfung der Zuständigkeit des für die Durchführung des Asyl- und Wegweisungsverfahrens zuständigen Staates gerichteten Dublin-Verfahrens sein kann (vgl. statt vieler: Urteil des BVGer F-1796/2025 vom 21. März 2025 E. 3.2), weshalb sich Weiterungen dazu erübrigen. Entgegen seiner Ansicht stellt der negative Asylentscheid und die angeordnete Wegweisung durch die deutschen Behörden kein Überstellungshindernis dar. Deutschland bleibt auch nach rechtskräftigem Abschluss des Asyl- und Wegweisungsverfahrens gemäss Art. 18 Abs. 1 Bst. d Dublin-III-VO bis zu einem allfälligen Wegweisungsvollzug aus dem Dublin-Raum zuständig (vgl. Urteile des BVGer F-2011/2024 vom 5. April 2024 E. 4.3; F-2037/2023 vom 19. April 2023 E. 4.3).</w:t>
      </w:r>
    </w:p>
    <w:p>
      <w:r>
        <w:rPr>
          <w:b/>
        </w:rPr>
        <w:t>E. 3</w:t>
      </w:r>
    </w:p>
    <w:p>
      <w:r>
        <w:t>Im Ergebnis ist die angefochtene Verfügung nicht zu beanstanden (Art. 106 AsylG). Die Beschwerde ist abzuweisen. Mit dem vorliegenden Urteil fällt der angeordnete Vollzugsstopp dahin.</w:t>
      </w:r>
    </w:p>
    <w:p>
      <w:r>
        <w:rPr>
          <w:b/>
        </w:rPr>
        <w:t>E. 4</w:t>
      </w:r>
    </w:p>
    <w:p>
      <w:r>
        <w:t>Die Begehren waren - wie gezeigt - von vornherein aussichtslos, weshalb das Gesuch um Gewährung der unentgeltlichen Prozessführung (Art. 65 Abs. 1 VwVG) abzuweisen ist.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