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F-2128/2016 vom 3. Oktober 2017</w:t>
      </w:r>
    </w:p>
    <w:p>
      <w:r>
        <w:t>Bundesverwaltungsgericht, 2017-10-03, FR</w:t>
      </w:r>
    </w:p>
    <w:p>
      <w:r>
        <w:rPr>
          <w:b/>
        </w:rPr>
        <w:t xml:space="preserve">Quelle: </w:t>
      </w:r>
      <w:r>
        <w:t>https://mcp.opencaselaw.ch/entscheid/bvger_F-2128_2016</w:t>
      </w:r>
    </w:p>
    <w:p>
      <w:r>
        <w:t>FR: TAF F-2128/2016 du 3 octobre 2017</w:t>
      </w:r>
    </w:p>
    <w:p>
      <w:r>
        <w:t>IT: TAF F-2128/2016 del 3 ottobre 2017</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il prend en considération l'état de fait régnant au moment où il statue (cf. ATAF 2014/1 consid. 2).</w:t>
      </w:r>
    </w:p>
    <w:p>
      <w:r>
        <w:rPr>
          <w:b/>
        </w:rPr>
        <w:t>E. 3.1</w:t>
      </w:r>
    </w:p>
    <w:p>
      <w:r>
        <w:t>Selon l'art. 67 al. 2 LEtr,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3.2</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Un signalement est introduit notamment lorsque la personne concernée se trouve sous le coup d'une décision d'une autorité administrative ou judiciaire fondée sur la menace pour l'ordre ou la sécurité publics que peut constituer la présence de cette personne sur le territoire d'un Etat membre, ce qui peut notamment être le cas d'une personne qui - à l'instar du recourant - a été condamnée dans un État membre pour une infraction passible d'une peine privative de liberté d'au moins un an (cf. art. 24 par. 2 let. a SIS II).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cf. notamment les arrêts du TAF C-5819/2012 du 26 août 2014 consid. 4 [non publié dans ATAF 2014/20] et C-2178/2013 du 9 avril 2014 consid. 3.2, et la jurisprudence citée).</w:t>
      </w:r>
    </w:p>
    <w:p>
      <w:r>
        <w:rPr>
          <w:b/>
        </w:rPr>
        <w:t>E. 3.3</w:t>
      </w:r>
    </w:p>
    <w:p>
      <w:r>
        <w:t>Concernant plus spécifiquement les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du 8 mars 2002, FF 2002 3469, spéc. p. 3564 ad art. 61 du projet). En vertu de l'art. 80 al. 1 de l'ordonnance du 24 octobre 2007 relative à l'admission, au séjour et à l'exercice d'une activité lucrative (OASA ;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précité du 8 mars 2002, p. 3564 ad art. 61 du projet, et p. 3568 ad art. 66 du projet).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3.4</w:t>
      </w:r>
    </w:p>
    <w:p>
      <w:r>
        <w:t>Selon le Message précité (cf. p. 3568), l'interdiction d'entrée permet d'empêcher l'entrée ou le retour d'un étranger dont le séjour en Suisse est indésirable. Cette mesure (administrative) de contrôle ne constitue donc pas une peine sanctionnant un comportement déterminé, mais vise plutôt à prévenir une atteinte à la sécurité et à l'ordre publics en empêchant - durant un certain laps de temps - un étranger dont le séjour en Suisse (ou dans l'Espace Schengen) est indésirable d'y retourner à l'insu des autorités (cf. ATAF 2008/24 précité consid. 4.2; message précité du 8 mars 2002, p. 3568 ad art. 66 du projet; Zünd/Arquint Hill, Beendigung der Anwesenheit, Entfernung und Fernhaltung, in: Uebersax/Rudin/Hugi Yar/ Geiser [éd.], Ausländerrecht, Bâle 2009, p. 355 n. 8.80). L'autorité compétente examine selon sa libre appréciation si une interdiction d'entrée doit être prononcée. Elle doit donc procéder à une pondération méticuleuse de l'ensemble des intérêts en présence et respecter le principe de la proportionnalité (cf. Zünd / Arquint Hill, op.cit., ibidem).</w:t>
      </w:r>
    </w:p>
    <w:p>
      <w:r>
        <w:rPr>
          <w:b/>
        </w:rPr>
        <w:t>E. 4</w:t>
      </w:r>
    </w:p>
    <w:p>
      <w:r>
        <w:t>En l'occurrence, l'autorité inférieure a prononcé le 9 mai 2014 une décision d'interdiction d'entrée valable jusqu'au 31 décembre 2099 à l'encontre de l'intéressé. Ladite mesure d'éloignement a été réduite à 15 ans, soit au 8 mai 2029, par décision du 11 avril 2017. Le SEM a considéré qu'une telle mesure d'éloignement s'imposait en raison de la gravité des infractions commises par le prénommé durant sa présence sur territoire helvétique et de la mise en danger de la sécurité et l'ordre publics qui en découlait. On précisera sur ce point que le recours est devenu sans objet en ce qui concerne la partie de la mesure d'éloignement pour la période du 9 mai 2029 au 31 décembre 2099, dès lors que le SEM a reconsidéré sa décision le 11 avril 2017 en limitant les effets de l'interdiction d'entrée au 8 mai 2029. Cela étant, il convient donc d'examiner, d'une part, si le recourant a attenté par son comportement à la sécurité et à l'ordre publics ou les a mis en danger au sens de l'art. 67 al. 2 let. a LEtr, ce qui justifierait le prononcé d'une mesure d'interdiction d'entrée dans son principe, et, d'autre part, si la personne concernée constitue une menace grave pour la sécurité et l'ordre publics autorisant le prononcé d'une mesure d'éloignement de plus de cinq ans, au sens de l'art. 67 al. 3 2ème phrase LEtr.</w:t>
      </w:r>
    </w:p>
    <w:p>
      <w:r>
        <w:rPr>
          <w:b/>
        </w:rPr>
        <w:t>E. 5</w:t>
      </w:r>
    </w:p>
    <w:p>
      <w:r>
        <w:t>L'examen du dossier amène le Tribunal à constater que, durant son séjour en Suisse, A._______ a successivement fait l'objet, entre 2004 et 2013, de quatre condamnations pénales (cf. supra let. D). Il apparaît en particulier que, par jugement du 25 novembre 2010, le Tribunal correctionnel de Lausanne a condamné l'intéressé à une peine privative de liberté de 6 ans, ainsi qu'à une amende de Fr. 200.- pour tentative de vol, vol simple, vol en bande et par métier, dommage à la propriété, violation de domicile, recel, brigandage simple, brigandage qualifié, lésions corporelles graves, tentative de meurtre, tentative d'utilisation frauduleuse d'un ordinateur, utilisation frauduleuse d'un ordinateur, faux dans les titres, infraction à la LArm, et contravention à la LStup. Ladite décision a été confirmée par la Cour de cassation pénale et par le Tribunal fédéral en date des 11 janvier 2011 et 23 juin 2011. Il s'impose en conséquence de retenir que, compte tenu des délits dont le recourant s'est rendu coupable en Suisse, celui-ci a attenté à la sécurité et à l'ordre publics, de sorte qu'il remplit incontestablement les conditions d'application de l'art. 67 al. 2 let. a LEtr. Aussi la mesure d'interdiction d'entrée prononcée le 9 mai 2014 est manifestement justifiée dans son principe.</w:t>
      </w:r>
    </w:p>
    <w:p>
      <w:r>
        <w:rPr>
          <w:b/>
        </w:rPr>
        <w:t>E. 6</w:t>
      </w:r>
    </w:p>
    <w:p>
      <w:r>
        <w:t>Il convient encore de déterminer si A._______ constitue une menace grave pour la sécurité et l'ordre publics justifiant le prononcé d'une mesure d'éloignement allant au-delà de la durée maximale de cinq ans prévue à l'art. 67 al. 3 1ère phrase LEtr.</w:t>
      </w:r>
    </w:p>
    <w:p>
      <w:r>
        <w:rPr>
          <w:b/>
        </w:rPr>
        <w:t>E. 6.1</w:t>
      </w:r>
    </w:p>
    <w:p>
      <w:r>
        <w:t>Le terme de "menace grave" de l'art. 67 al. 3 LEtr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6.3 ainsi que les références citées [sur l'applicabilité de cette jurisprudence à des ressortissants provenant d'Etats tiers, cf. ATF 139 II précité consid. 6.2]). Ainsi, le Tribunal fédéral se montre particulièrement sévère en présence d'actes de violence criminelle et d'infractions contre l'intégrité sexuelle (cf. infra consid. 6.2). Aussi, dans de telles circonstances, un risque de récidive, même relativement faible, ne saurait en principe être toléré (cf. arrêt du TAF F-7115/2015 du 15 décembre 2016 consid. 6.1). Un tel risque pourra également être admis pour les multirécidivistes qui n'ont pas tiré de leçon de leurs condamnations pénales antérieures (cf. arrêt du TF 2C_121/2014 du 17 juillet 2014 consid. 4.3).</w:t>
      </w:r>
    </w:p>
    <w:p>
      <w:r>
        <w:rPr>
          <w:b/>
        </w:rPr>
        <w:t>E. 6.2</w:t>
      </w:r>
    </w:p>
    <w:p>
      <w:r>
        <w:t>A cet égard, force est de constater une fois encore que les infractions pénales imputées au recourant sont objectivement très graves, tout particulièrement celles qui sont à l'origine de sa condamnation du 25 novembre 2010 à 6 ans de peine privative de liberté. Le Tribunal correctionnel de Lausanne avait d'ailleurs souligné, dans ledit jugement, que la culpabilité du recourant était extrêmement lourde, qu'il avait récidivé en cours d'enquête, qu'il était un véritable danger public qui n'hésitait pas à détrousser, violenter et voler à tour de bras et qu'il n'avait cessé de mentir sans donner le sentiment d'avoir pris véritablement conscience des enjeux et des conséquences de ses actes (cf. pce SEM p. 117). On précisera à ce sujet que l'intéressé avait porté des coups de couteau à D._______ par derrière et dans le dos et qu'il avait gravement mis la vie de ce dernier en danger. Il sied également de relever que lorsqu'il s'est dirigé vers E._______, son autre victime, il l'a ceinturé par l'arrière en lui portant depuis sa position des coups violents ; l'un d'entre eux notamment a pénétré le corps de la victime jusqu'à transpercer le foie (cf. pce SEM p. 145). Par ces faits, l'auteur s'est rendu coupable de lésions corporelles graves à l'encontre de D._______ et de tentative de meurtre par dol éventuel à l'encontre de E._______.</w:t>
      </w:r>
    </w:p>
    <w:p>
      <w:r>
        <w:rPr>
          <w:b/>
        </w:rPr>
        <w:t>E. 6.3</w:t>
      </w:r>
    </w:p>
    <w:p>
      <w:r>
        <w:t>Ces agissements coupables constituent indéniablement un trouble à l'ordre social et affectent un intérêt fondamental de la société. C'est le lieu de rappeler ici que le Tribunal fédéral se montre particulièrement rigoureux - suivant en cela la pratique de la Cour européenne des droits de l'homme - en présence d'infractions à la LStup et d'actes de violence criminelle (cf. ATF 139 II 121 consid. 5.3, et la jurisprudence citée; arrêts du TF 2C_121/2014 du 17 juillet 2014 consid. 3.2, 2C_436/2014 du 29 octobre 2014 consid. 3.3, 2C_565/2013 du 6 décembre 2013 consid. 3.5, 2C_579/2013 du 15 novembre 2013 consid. 2.3 et 2C_260/2013 du 8 juillet 2013 consid. 4.1), telle notamment la tentative de meurtre dont le recourant s'est rendu coupable en date du 7 mai 2006 (cf. pce SEM p. 213).</w:t>
      </w:r>
    </w:p>
    <w:p>
      <w:r>
        <w:rPr>
          <w:b/>
        </w:rPr>
        <w:t>E. 6.4</w:t>
      </w:r>
    </w:p>
    <w:p>
      <w:r>
        <w:t>Il sied à cet égard de constater que, dans son expertise psychiatrique du 11 octobre 2010, le Dr C._______ a estimé que le risque de récidive des infractions telles que l'agression commise en juin 2007 était légèrement plus faible que ce qu'il était quelques années auparavant, mais qu'il ne pouvait être exclu (cf. expertise p. 14 et 16). Il a relevé que « la nature même des troubles de la personnalité les rend[ait] difficilement accessibles à toute forme de psychothérapie » et qu'un traitement ambulatoire fondé sur l'approche psychothérapeutique était également voué à l'échec. Finalement, au vu des troubles de la personnalité de l'expertisé assimilables à des troubles du développement, il a été considéré qu'un encadrement ambulatoire de type accompagnement et surveillance semblait le plus indiqué et qu'un traitement psychiatrique en tant que tel était trop ambitieux et n'apporterait pas le changement souhaité.</w:t>
      </w:r>
    </w:p>
    <w:p>
      <w:r>
        <w:rPr>
          <w:b/>
        </w:rPr>
        <w:t>E. 6.5</w:t>
      </w:r>
    </w:p>
    <w:p>
      <w:r>
        <w:t>En conséquence, vu la nature, la gravité et le nombre d'actes délictueux commis en Suisse par le recourant, le Tribunal de céans arrive à la conclusion que les conditions émises à l'art. 67 al. 3 2ème phrase LEtr sont réunies et justifient le prononcé d'une mesure d'éloignement d'une durée supérieure à cinq ans.</w:t>
      </w:r>
    </w:p>
    <w:p>
      <w:r>
        <w:rPr>
          <w:b/>
        </w:rPr>
        <w:t>E. 7.1</w:t>
      </w:r>
    </w:p>
    <w:p>
      <w:r>
        <w:t>Il sied encore d'examiner si la mesure d'éloignement, dont la durée a été fixée par l'autorité de première instance à 15 ans, satisfait aux principes de la proportionnalité et d'égalité de traitement.</w:t>
      </w:r>
    </w:p>
    <w:p>
      <w:r>
        <w:rPr>
          <w:b/>
        </w:rPr>
        <w:t>E. 7.1.1</w:t>
      </w:r>
    </w:p>
    <w:p>
      <w:r>
        <w:t>A cet égard, il importe tout d'abord de relever que, selon les précisions apportées par la jurisprudence sur la durée de validité des interdictions d'entrée motivées par l'existence d'une menace grave pour la sécurité et l'ordre publics suisses (art. 67 al. 3 LEtr), cette durée sera fixée sur une période dépassant 5 ans et pouvant s'étendre au maximum à 15 ans, voire à 20 ans en cas de récidive (cf. ATAF 2014/20 consid. 7). Toute mesure d'éloignement doit respecter le principe de la proportionnalité, qui s'impose tant en droit interne (cf. art. 5 al. 2 Cst. et 96 LEtr) qu'au regard de la CEDH (cf. art. 8 par. 2 CEDH) lorsque la mesure étatique en cause constitue une ingérence dans l'exercice du droit à la protection de la vie familiale garanti par l'art. 8 par. 1 CEDH (cf. ATF 139 I 145 consid. 2.2).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voir également ATF 136 IV 97 consid. 5.2.2; 135 I 176 consid. 8.1; 133 I 110 consid. 7.1, et la jurisprudence mentionnée). Conformément aux dispositions précitées,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 et jurisprudence citée). L'examen sous l'angle de l'art. 8 par. 2 CEDH se confond avec celui imposé par l'art. 96 LEtr (cf. notamment arrêts du TF 2C_53/2015 du 31 mars 2015 consid. 5.3; 2C_139/2014 du 4 juillet 2014 consid. 5).</w:t>
      </w:r>
    </w:p>
    <w:p>
      <w:r>
        <w:rPr>
          <w:b/>
        </w:rPr>
        <w:t>E. 7.1.2</w:t>
      </w:r>
    </w:p>
    <w:p>
      <w:r>
        <w:t>Concernant les deux premières règles susmentionnées, il est indéniable, en l'absence actuellement d'un pronostic favorable quant au risque de réitération des infractions commises par le recourant, que l'éloignement de ce dernier du territoire suisse est apte et nécessaire pour atteindre les buts visés, à savoir protéger l'ordre et la sécurité publics. S'agissant de la règle de la proportionnalité au sens étroit, il sied de procéder à une pesée des intérêts en présence, à savoir d'un côté l'intérêt privé de A._______ à pouvoir entrer librement sur le territoire suisse, et d'un autre côté, l'intérêt public à le tenir éloigné afin de protéger l'ordre et la sécurité publics. L'interdiction d'entrée en Suisse prise à l'endroit du recourant apparaît également justifiée sous l'angle du principe de la proportionnalité au sens étroit. En effet, tant la durée de son séjour en Suisse de plus de 10 ans, que la formation d'électricien dont il se prévaut doivent être relativisées au vu des condamnations pénales dont il a fait l'objet jusqu'à présent. Sur ce point, on rappellera, en défaveur du recourant, que ce dernier est entré illégalement en Suisse à l'âge de 15 ans et qu'il n'a séjourné légalement, soit au bénéficie d'une autorisation d'établissement, que durant 5 ans environ (cf. supra let. A et let. F). S'agissant de l'intérêt public, il est à noter que l'interdiction d'entrée prononcée à l'endroit du prénommé est une mesure administrative de contrôle qui tend à le tenir éloigné de la Suisse où il a contrevenu aux prescriptions légales en commettant des infractions revêtant une gravité particulière. Il en va de l'intérêt de l'Etat à voir respecter l'ordre établi et la législation en vigueur (cf. arrêt du Tribunal administratif fédéral C-4334/2014 du 19 mai 2015 consid. 7.2 et la référence citée).</w:t>
      </w:r>
    </w:p>
    <w:p>
      <w:r>
        <w:rPr>
          <w:b/>
        </w:rPr>
        <w:t>E. 8</w:t>
      </w:r>
    </w:p>
    <w:p>
      <w:r>
        <w:t>Cela étant, il sied encore d'examiner si la présence des membres de la famille du recourant, sous l'angle de l'art. 8 CEDH, fait obstacle au prononcé de l'interdiction d'entrée qui a été reconsidérée partiellement le 11 avril 2017.</w:t>
      </w:r>
    </w:p>
    <w:p>
      <w:r>
        <w:rPr>
          <w:b/>
        </w:rPr>
        <w:t>E. 8.1</w:t>
      </w:r>
    </w:p>
    <w:p>
      <w:r>
        <w:t>A l'instar du refus d'une autorisation de séjour, l'interdiction d'entrée en Suisse peut effectivement comporter une ingérence dans la vie privée et familiale garantie par la disposition conventionnelle précitée (cf. arrêt du TF 2C_664/2009 du 25 février 2010 consid. 5). Toutefois, pour que l'étranger puisse se réclamer de cette disposition et s'opposer à l'éventuelle séparation de la famille, il doit entretenir une relation étroite, effective et intacte avec une personne de sa famille disposant d'un droit de présence durable en Suisse (cf. notamment ATF 139 I 330 consid. 2.1; 137 I 284 consid. 1.3; 135 I 143 consid. 1.3.1). D'après la jurisprudence du TF, les relations familiales qui peuvent fonder, en vertu de l'art. 8 par. 1 CEDH, un droit à une autorisation de police des étrangers sont avant tout les rapports entre époux ainsi qu'entre parents et enfants mineurs vivant ensemble (cf. notamment ATF 140 I 77 consid. 5.2; 137 I 113 consid. 6.1; 135 I 143 consid. 1.3.2). L'art. 13 al. 1 Cst. garantit la même protection (cf. notamment ATF 138 I 331 consid. 8.3.2). Il est cependant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faut tenir compte, en cas de condamnation de l'étranger pour crime ou délit, de la gravité des actes commis ainsi que de la situation personnelle et familiale de l'intéressé (cf. ATF 134 II 10 consid. 4.1 et 4.2 et la jurisprudence citée, concernant une autorisation de séjour en Suisse). Comme vu précédemment, les relations visées par l'art. 8 CEDH sont avant tout celles concernant la famille dite nucléaire ("Kernfamilie"), soit celles qui existent entre époux ainsi qu'entre parents et enfants mineurs vivant en ménage commun. La notion de famille au sens de l'art. 8 CEDH ne se limite toutefois pas aux seules relations fondées sur le mariage, mais peut englober d'autres liens familiaux de fait, lorsque les parties cohabitent en dehors du mariage. Selon la jurisprudence de la Cour européenne des droits de l'homme (CourEDH), pour déterminer si une relation s'analyse en une vie familiale, il y a lieu de tenir compte d'un certain nombre d'éléments, comme le fait de savoir si le couple vit ensemble, depuis combien de temps et s'il y a des enfants communs. De plus, une protection conventionnelle à des couples de concubins n'est en principe accordée qu'à des relations bien établies dans la durée, soit de six à dix-huit ans (cf. arrêt du Tribunal fédéral 2C_205/2012 du 2 mars 2012 consid. 4.1, et réf. cit.).</w:t>
      </w:r>
    </w:p>
    <w:p>
      <w:r>
        <w:rPr>
          <w:b/>
        </w:rPr>
        <w:t>E. 8.2</w:t>
      </w:r>
    </w:p>
    <w:p>
      <w:r>
        <w:t>Il y a lieu de rappeler ici que l'impossibilité pour le recourant de résider en Suisse auprès des membres de sa famille ne résulte pas de la mesure d'éloignement litigieuse, mais découle primairement du fait qu'il n'est plus titulaire d'un titre d'établissement dans ce pays. En effet, par décision du 14 décembre 2011, le DECS a révoqué l'autorisation d'établissement de l'intéressé. Cette décision a été confirmée par la CDAP par jugement du mars 2012 (cf. supra let. F). ll s'ensuit que l'appréciation de la situation du recourant susceptible d'être opérée sous l'angle de l'art. 8 CEDH dans le cadre de la présente procédure ne vise qu'à examiner si l'interdiction d'entrée prononcée à son endroit complique de façon disproportionnée le maintien de ses relations familiales avec sa soeur, sa fille et son ex-compagne résidant en Suisse.</w:t>
      </w:r>
    </w:p>
    <w:p>
      <w:r>
        <w:rPr>
          <w:b/>
        </w:rPr>
        <w:t>E. 8.3</w:t>
      </w:r>
    </w:p>
    <w:p>
      <w:r>
        <w:t>Dans le cas particulier, il appert que la relation qui existait entre l'intéressé et la mère de son enfant a pris fin en février 2009 (cf. arrêt du 30 mars 2012 de la CDAP). Cette affirmation a d'ailleurs était confirmée par le recourant dans son courrier du 10 juillet 2017 notamment (cf. pce TAF 19). En outre, même si ce dernier prétend avoir épousé B._______, il semblerait, au vu des pièces versées au dossier, qu'il n'a jamais contracté mariage avec cette dernière. Dans ces conditions, l'intéressé ne saurait se prévaloir de sa relation avec la prénommée dans le cadre de la présente affaire. S'agissant de sa fille C._______, même s'il semblerait que cette dernière ait été reconnue par le recourant (cf. courrier du 1er octobre 2012 du SPOP et demande de réexamen du 28 mars 2013), il n'en demeure pas moins qu'aucun élément au dossier ne permet de penser qu'ils entretiennent une relation étroite, effective et intacte. En outre, A._______ a admis, dans le cadre de son recours, qu'il ne l'avait pas revue depuis deux ans. Même si ces circonstances s'expliquent par le fait que le prénommé a été refoulé de Suisse en 2014, il sied de constater que, dès la naissance de l'enfant, le recourant a passé la plupart de son temps en prison, puis a dû quitter le sol helvétique (cf. notamment courrier du 1er juillet 2010 de la Direction de la Prison du [...], la décision du DPI du 14 décembre 2011 et le recours du 19 janvier 2012 p. 5). Au vu des éléments susmentionnés, la présence en Suisse de sa fille ne fait pas obstacle au prononcé d'une mesure d'éloignement de 15 ans. Quant à la présence de sa soeur sur le territoire helvétique, elle ne lui est d'aucun secours sous l'angle de l'art. 8 CEDH, dès lors qu'elle ne fait pas partie de sa famille nucléaire (cf. à ce sujet supra consid. 7.1).</w:t>
      </w:r>
    </w:p>
    <w:p>
      <w:r>
        <w:rPr>
          <w:b/>
        </w:rPr>
        <w:t>E. 8.4</w:t>
      </w:r>
    </w:p>
    <w:p>
      <w:r>
        <w:t>Le Tribunal considère à cet égard, compte tenu de la nature et de la gravité des délits pour lesquels le recourant a été condamné en Suisse, que l'intérêt public à son éloignement pendant de nombreuses années prévaut sur l'intérêt privé contraire à pouvoir se rendre temporairement dans ce pays pour y entretenir des relations familiales avec les membres de sa famille établis en Suisse.</w:t>
      </w:r>
    </w:p>
    <w:p>
      <w:r>
        <w:rPr>
          <w:b/>
        </w:rPr>
        <w:t>E. 8.5</w:t>
      </w:r>
    </w:p>
    <w:p>
      <w:r>
        <w:t>Cela étant, après une pondération de tous les intérêts publics et privés en présence, au regard de l'ensemble des circonstances du cas d'espèce et en considération de la présence en Suisse de certains membres de sa famille, ainsi qu'à la lumière des cas similaires jugés par le Tribunal (cf. notamment les arrêts du Tribunal administratif fédéral C-1409/2014 du 25 mai 2016, F-1601/2015 du 28 novembre 2016 et C-417/2012 du 8 juin 2015), celui-ci estime que la durée de l'interdiction d'entrée qui a été reconsidérée partiellement le 11 avril 2017 est justifiée.</w:t>
      </w:r>
    </w:p>
    <w:p>
      <w:r>
        <w:rPr>
          <w:b/>
        </w:rPr>
        <w:t>E. 9</w:t>
      </w:r>
    </w:p>
    <w:p>
      <w:r>
        <w:t>Le SEM a par ailleurs ordonné l'inscription de l'interdiction d'entrée dans le SIS. Ainsi que cela ressort du dossier, A._______ est un ressortissant d'un pays tiers au sens de la législation de l'Union européenne (cf. supra consid. 4.2). En raison de ce signalement dans le SIS, il lui est interdit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 (cf. supra consid. 4.2 in fine).</w:t>
      </w:r>
    </w:p>
    <w:p>
      <w:r>
        <w:rPr>
          <w:b/>
        </w:rPr>
        <w:t>E. 10</w:t>
      </w:r>
    </w:p>
    <w:p>
      <w:r>
        <w:t>Il ressort de ce qui précède que, par sa décision du 11 avril 2017, le SEM n'a ni violé le droit fédéral, ni constaté des faits de manière inexacte ou incomplète ; en outre, cette décision n'est pas inopportune (art. 49 PA).</w:t>
      </w:r>
    </w:p>
    <w:p>
      <w:r>
        <w:rPr>
          <w:b/>
        </w:rPr>
        <w:t>E. 11</w:t>
      </w:r>
    </w:p>
    <w:p>
      <w:r>
        <w:t>Dans la mesure où l'autorité inférieure a reconsidéré partiellement la durée de la mesure d'éloignement prononcée à l'encontre de l'intéressé, il y a lieu de considérer que ce dernier a partiellement obtenu gain de cause, respectivement partiellement succombé. Cette circonstance a une incidence sur la prise en charge des frais de procédure. Conformément à l'art. 63 al. 1 PA, les frais de procédure sont en règle générale mis à la charge de la partie qui succombe. Si celle-ci n'est déboutée que partiellement, ces frais sont réduits. Dans la présente affaire, les frais de procédure mis à la charge du recourant sont fixés à Fr. 900.- en application des art. 1 à 3 du règlement du 21 février 2008 concernant les frais, dépens et indemnités fixés par le Tribunal administratif fédéral (FITAF, RS 173.320.2). Aucun frais de procédure n'est en revanche mis à la charge des autorités inférieures (cf. art. 63 al. 2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