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F-2120/2024 vom 11. April 2024</w:t>
      </w:r>
    </w:p>
    <w:p>
      <w:r>
        <w:t>Bundesverwaltungsgericht, 2024-04-11, DE</w:t>
      </w:r>
    </w:p>
    <w:p>
      <w:r>
        <w:rPr>
          <w:b/>
        </w:rPr>
        <w:t xml:space="preserve">Quelle: </w:t>
      </w:r>
      <w:r>
        <w:t>https://mcp.opencaselaw.ch/entscheid/bvger_F-2120_2024</w:t>
      </w:r>
    </w:p>
    <w:p>
      <w:r>
        <w:t>FR: TAF F-2120/2024 du 11 avril 2024</w:t>
      </w:r>
    </w:p>
    <w:p>
      <w:r>
        <w:t>IT: TAF F-2120/2024 del 11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 unter Vorbehalt nachfolgender Erwägung - einzutreten (Art. 108 Abs. 3 AsylG sowie Art. 52 Abs. 1 VwVG).</w:t>
      </w:r>
    </w:p>
    <w:p>
      <w:r>
        <w:rPr>
          <w:b/>
        </w:rPr>
        <w:t>E. 1.4</w:t>
      </w:r>
    </w:p>
    <w:p>
      <w:r>
        <w:t>Verfahrensgegenstand ist der Nichteintretensentscheid des SEM gemäss Art. 31a Abs. 1 Bst. b AsylG. Da das Fehlen von Überstellungshindernissen bereits Voraussetzung dieses Nichteintretensentscheides ist, sind allfällige Vollzugshindernisse gemäss Art. 83 Abs. 3 und 4 AIG (SR 142.20) unter diesen Umständen nicht mehr zu prüfen (vgl. BVGE 2015/18 E. 5.2 m.w.H.). Mithin stellt der Antrag, es sei die Unzumutbarkeit der Wegweisung nach Deutschland festzustellen, eine unzulässige Erweiterung des Streitgegenstandes dar, weshalb darauf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3.2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3.3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4</w:t>
      </w:r>
    </w:p>
    <w:p>
      <w:r>
        <w:t>Nachdem die deutschen Behörden dem Wiederaufnahmegesuch des SEM am 22. Dezember 2023 zugestimmt haben, ist die Zuständigkeit Deutschlands prinzipiell gegeben. Sodann ist in grundlegender Hinsicht festzuhalten, dass die Dublin-III-VO den Schutzsuchenden kein Recht einräumt, den ihren Antrag prüfenden Staat selber auszuwählen (vgl. BVGE 2010/45 E. 8.3).</w:t>
      </w:r>
    </w:p>
    <w:p>
      <w:r>
        <w:rPr>
          <w:b/>
        </w:rPr>
        <w:t>E. 5.1</w:t>
      </w:r>
    </w:p>
    <w:p>
      <w:r>
        <w:t>Mit Blick auf Art. 3 Abs. 2 Dublin-III-VO wird in der Beschwerde zu Recht nicht geltend gemacht, dass das Asylverfahren in Deutschland systemische Schwachstellen aufweise (Art. 3 Abs. 2 Dublin-III-VO). Unter Hinweis auf die konstante Praxis des Bundesverwaltungsgerichts (vgl. etwa die Urteile des BVGer D-3964/2023 vom 19. Juli 2023 E. 7.3, D-2755/2023 vom 14. Juli 2023 E. 6.2, E-3051/2023 vom 1. Juni 2023 E. 6.2 und D-1442/2023 vom 22. März 2023 E. 8.1) erübrigen sich diesbezüglich weitere Erörterungen.</w:t>
      </w:r>
    </w:p>
    <w:p>
      <w:r>
        <w:rPr>
          <w:b/>
        </w:rPr>
        <w:t>E. 5.2</w:t>
      </w:r>
    </w:p>
    <w:p>
      <w:r>
        <w:t>Unter diesen Umständen ist die Anwendung von Art. 3 Abs. 2 Dublin-III-VO nicht gerechtfertigt.</w:t>
      </w:r>
    </w:p>
    <w:p>
      <w:r>
        <w:rPr>
          <w:b/>
        </w:rPr>
        <w:t>E. 6</w:t>
      </w:r>
    </w:p>
    <w:p>
      <w:r>
        <w:t>Als weitere potentielle Rechtsgrundlage für einen Zuständigkeitsübergang auf die Schweiz ist Art. 17 Abs. 1 Dublin-III-VO zu prüfen.</w:t>
      </w:r>
    </w:p>
    <w:p>
      <w:r>
        <w:rPr>
          <w:b/>
        </w:rPr>
        <w:t>E. 6.1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Mangels systemischer Mängel im Sinne von Art. 3 Abs. 2 Dublin-III-VO (vgl. E. 5 hiervor) kann vermutungsweise davon ausgegangen werden, dass Deutschland seinen völker- und gemeinschaftsrechtlichen Verpflichtungen gegenüber Personen in der Situation des Beschwerdeführers nachkommt und insbesondere auch die Rechte respektiert und schützt, die sich aus der Verfahrens- und Aufnahmerichtlinie ergeben (vgl. Urteile des BVGer E-4933/2023 vom 22. September 2023; E-4531/2023 vom 28. August 2023). Diese Vermutung kann zwar im Einzelfall widerlegt werden. Hierfür bedarf es aber konkreter und ernsthafter Hinweise, die von der betroffenen Person glaubhaft darzutun sind (vgl. BVGE 2010/45 E. 7.4 f.; Urteil des BVGer D-5698/2017 vom 6. März 2018 E. 5.3.1). Der Beschwerdeführer führt in diesem Zusammenhang aus, er habe in Deutschland weder finanzielle noch medizinische, soziale oder humanitäre Hilfe erhalten. Zudem sei er durch ein dortiges Gericht - unter Verletzung seiner Verteidigungsrechte - wegen nicht bezahlter Bussgelder zu unangemessenen Haftstrafen verurteilt worden. Er hat seine Behauptungen jedoch nicht ansatzweise konkretisiert oder durch geeignete Unterlagen belegt. Demnach vermag er auf Beschwerdeebene keine konkreten Hinweise für die Annahme glaubhaft zu machen, Deutschland würde ihm dauerhaft die ihm gemäss Aufnahmerichtlinie zustehenden minimalen Lebensbedingungen vorenthalten und/oder die ihm zustehenden Rechte verletzen. Im Übrigen machte er die in seiner Rechtsmitteleingabe vorgebrachte Verweigerung von Hilfeleistungen und die angebliche Verletzung seiner Verteidigungsrechte anlässlich eines Strafverfahrens (oder mehrerer) im Rahmen des Dublin-Gesprächs noch mit keinem Wort geltend.</w:t>
      </w:r>
    </w:p>
    <w:p>
      <w:r>
        <w:rPr>
          <w:b/>
        </w:rPr>
        <w:t>E. 6.3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hier offenkundig nicht vor. Weder aus der Beschwerdeschrift noch aus den vorinstanzlichen Akten sind Gründe ersichtlich, die für die Ausübung des Selbsteintrittsrechts sprechen würden. Die Vorinstanz hat sich ausführlich mit dem Gesundheits-zustand des Beschwerdeführers auseinandergesetzt und ist zum Ergebnis gelangt, dass kein medizinischer Behandlungsbedarf ersichtlich ist, der ein Hindernis für eine Überstellung nach Deutschland darstellen würde. Deutschland verfügt zudem über eine ausreichende medizinische Infrastruktur und es besteht kein Grund zur Annahme, dass dem Beschwerdeführer dort eine allfällig notwendige medizinische Behandlung verweigert werden würde.</w:t>
      </w:r>
    </w:p>
    <w:p>
      <w:r>
        <w:rPr>
          <w:b/>
        </w:rPr>
        <w:t>E. 6.4</w:t>
      </w:r>
    </w:p>
    <w:p>
      <w:r>
        <w:t>Bei dieser Sachlage besteht kein Anlass, die Sache zu weiteren Sachverhaltsabklärungen an das SEM zurückzuweisen. Das entsprechende Eventualbegehren ist daher abzuweisen.</w:t>
      </w:r>
    </w:p>
    <w:p>
      <w:r>
        <w:rPr>
          <w:b/>
        </w:rPr>
        <w:t>E. 7.1</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7.2</w:t>
      </w:r>
    </w:p>
    <w:p>
      <w:r>
        <w:t>Nach dem Gesagten besteht kein Grund für eine Anwendung der Ermessensklauseln von Art. 17 Dublin-III-VO. Somit bleibt Deutschland der für die Behandlung des Asylgesuches des Beschwerdeführers zuständige Mitgliedstaat gemäss Dublin-III-VO.</w:t>
      </w:r>
    </w:p>
    <w:p>
      <w:r>
        <w:rPr>
          <w:b/>
        </w:rPr>
        <w:t>E. 8</w:t>
      </w:r>
    </w:p>
    <w:p>
      <w:r>
        <w:t>Das SEM ist zu Recht in Anwendung von Art. 31a Abs. 1 Bst. b AsylG auf das Asylgesuch des Beschwerdeführers nicht eingetreten. Die Überstellung nach Deutschland wurde in Anwendung von Art. 44 AsylG ebenfalls zu Recht angeordnet.</w:t>
      </w:r>
    </w:p>
    <w:p>
      <w:r>
        <w:rPr>
          <w:b/>
        </w:rPr>
        <w:t>E. 9</w:t>
      </w:r>
    </w:p>
    <w:p>
      <w:r>
        <w:t>Die Beschwerde ist abzuweisen, soweit darauf einzutreten ist, und die Verfügung des SEM zu bestätigen.</w:t>
      </w:r>
    </w:p>
    <w:p>
      <w:r>
        <w:rPr>
          <w:b/>
        </w:rPr>
        <w:t>E. 10</w:t>
      </w:r>
    </w:p>
    <w:p>
      <w:r>
        <w:t>Mit dem Entscheid in der Hauptsache sind die Gesuche um Erteilung der aufschiebenden Wirkung, um Sistierung des Wegweisungsvollzugs und um Verzicht auf die Erhebung eines Kostenvorschusses gegenstandslos geworden. Der am 9. April 2024 angeordnete Vollzugsstopp fällt mit vorliegendem Urteil dahin.</w:t>
      </w:r>
    </w:p>
    <w:p>
      <w:r>
        <w:rPr>
          <w:b/>
        </w:rPr>
        <w:t>E. 11</w:t>
      </w:r>
    </w:p>
    <w:p>
      <w:r>
        <w:t>Das Gesuch um Gewährung der unentgeltlichen Rechtspflege ist abzuweisen, da die Beschwerde gemäss den vorstehenden Erwägungen als aussichtslos zu bezeichnen war. Daher fehlt es, unbesehen der finanziellen Verhältnisse des Beschwerdeführers, an einer gesetzlichen Voraussetzung gemäss Art. 65 Abs. 1 und 2 VwVG. Bei diesem Ausgang des Verfahrens sind ihm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