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F-2105/2025 vom 14. März 2025</w:t>
      </w:r>
    </w:p>
    <w:p>
      <w:r>
        <w:t>Bundesverwaltungsgericht, 2025-03-14, DE</w:t>
      </w:r>
    </w:p>
    <w:p>
      <w:r>
        <w:rPr>
          <w:b/>
        </w:rPr>
        <w:t xml:space="preserve">Quelle: </w:t>
      </w:r>
      <w:r>
        <w:t>https://mcp.opencaselaw.ch/entscheid/bvger_F-2105_2025_d20250314</w:t>
      </w:r>
    </w:p>
    <w:p>
      <w:r>
        <w:t>FR: TAF F-2105/2025 du 14 mars 2025</w:t>
      </w:r>
    </w:p>
    <w:p>
      <w:r>
        <w:t>IT: TAF F-2105/2025 del 14 marzo 2025</w:t>
      </w:r>
    </w:p>
    <w:p>
      <w:pPr>
        <w:pStyle w:val="Heading2"/>
      </w:pPr>
      <w:r>
        <w:t>Regeste</w:t>
      </w:r>
    </w:p>
    <w:p>
      <w:r>
        <w:t>Schengen-Visum | Schengen-Visum; Verfügung des SEM vom 14. März 2025</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des Gesuchstellers durch die ange- fochtene Verfügung besonders berührt. Er ist zur Erhebung des Rechtsmit- tels legitimiert, zumal der Gesuchsteller nach wie vor einen Besuch in der Schweiz beabsichtigt (Art. 48 Abs. 1 VwVG). Auf die frist- und formgerecht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t>F-2105/2025 Seite 3</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Ent- scheidzeitpunkt (vgl. BVGE 2020 VII/4 E. 2.2 m.H., 2014/1 E. 2).</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Der angefochtenen Verfügung liegt das Gesuch eines türkischen Ge- suchstellers um Erteilung eines Visums zu Besuchszwecken bei seinem Schwager in der Schweiz zugrunde. Da sich der Gesuchsteller nicht auf die EU/EFTA-Personenfreizügigkeitsabkommen berufen kann und die be- 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F-2105/2025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tür- kischer Staatsangehöriger unterliegt der Gesuchsteller der Visumspflicht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w:t>
      </w:r>
    </w:p>
    <w:p>
      <w:r>
        <w:t>F-2105/2025 Seite 5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anstandslose Wiederausreise des Gesuchstellers nicht gesichert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 Betreffend die allgemeinen Verhältnisse in der Türkei ist in wirtschaftlicher Hinsicht festzuhalten, dass sich das Land weiterhin in einer schwierigen Lage befindet. Die türkische Wirtschaft leidet unter einer hohen Inflation und dem massiven Wertverlust der Landeswährung. (Staatssekretariat für Wirtschaft [SECO] &lt; https://www.seco.admin.ch/seco/de/home/Aussen- wirtschaftspolitik_Wirtschaftliche_Zusammenarbeit/Wirtschaftsbeziehun- gen/laenderinformationen/europa_zentralasien/suedosteuropa/tuerkei. html &gt;, abgerufen am 10. April 2025). Bezeichnend für die wirtschaftliche Lage und Entwicklung der Türkei ist ferner die Kluft zwischen Stadt und Land beziehungsweise West und Ost. Der wirtschaftliche Aufschwung und die Modernisierung seit den neunziger Jahren beschränken sich vor allem auf die städtischen Gebiete der Westtürkei. Insbesondere der Südosten bleibt trotz Anstrengungen des türkischen Staats, diese Gebiete durch Pro- jekte wie das Südostanatolien-Projekt wirtschaftlich besser zu integrieren und am Aufschwung teilhaben zu lassen, hinter dieser positiven Entwick- lung zurück (vgl. Centrum für angewandte Politikforschung, Wirtschaftliche Entwicklung in der Türkei, &lt; https://www.cap-lmu.de/themen/tuerkei/wirt- schaft/entwicklung.php &gt;, abgerufen am 10. April 2025). Zur Sicherheits- lage im Südosten und Osten der Türkei ist zu erwähnen, dass der Konflikt zwischen den türkischen Sicherheitskräften und der kurdischen Arbeiter- partei (Partiya Karkerên Kurdistanê; PKK) weiter andauert. Vereinzelt kommt es zu bewaffneten Zusammenstössen, vor allem in ländlichen Ge- genden. Die bewaffneten Konflikte in Syrien und Irak können sich auf die</w:t>
      </w:r>
    </w:p>
    <w:p>
      <w:r>
        <w:t>F-2105/2025 Seite 6 angrenzenden türkischen Gebiete auswirken. Wiederholt sind Anschläge gegen zivile Ziele verübt worden. Das Risiko von Entführungen durch ter- roristische Gruppierungen aus Syrien kann im Grenzgebiet nicht ausge- schlossen werden (Eidgenössisches Departement für auswärtige Angele- genheiten [EDA], Reisehinweise für die Türkei, 21. März 2025, &lt; https://www.eda.admin.ch/eda/de/home/laender-reise-information/tuer- kei/reisehinweise-tuerkei.html#eda1738ed &gt;, abgerufen am 10. April 2025). Angesichts dieser Umstände ist nicht zu beanstanden, dass die Vorinstanz das Risiko einer nicht fristgerechten Wiederausreise des Gesuchstellers, der aus der in C._______ gelegenen Stadt D._______ stammt, als grund- sätzlich hoch einschätzte.</w:t>
      </w:r>
    </w:p>
    <w:p>
      <w:r>
        <w:rPr>
          <w:b/>
        </w:rPr>
        <w:t>E. 4.2</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4.3</w:t>
      </w:r>
    </w:p>
    <w:p>
      <w:r>
        <w:t>Der (…)-jährige Gesuchsteller ist verheiratet und Vater von vier Kin- dern. Gemäss Angaben des Beschwerdeführers habe er einen (…)betrieb und leite aktuell den Bau eines Liegenschaftsprojekts mit hohem Investiti- onsvolumen. Belege für ein solches Projekt befinden sich nicht in den Ak- ten. Es erscheint erstaunlich, dass ein solch grosses Bauvorhaben nicht seine Anwesenheit erfordert und es ihm möglich wäre, sich während einer Dauer von zwei bis drei Monaten in der Schweiz aufzuhalten. Durch seine Ehefrau und die vier noch minderjährigen Kinder dürfte der Gesuchsteller durchaus familiäre Verpflichtungen im Heimatland haben. Dieser Umstand bildet für sich allein aber noch keine Garantie für eine anstandslose und fristgerechte Wiederausreise nach einem Besuchsaufenthalt. Die Erfah- rung zeigt, dass es in der Regel die individuell herrschenden wirtschaftli- chen und sozialen Verhältnisse sind, die letztlich über Rückkehr oder Ver- bleib im Ausland entscheiden. Dass eine Familie vorübergehend getrennt wird, wird je nach Interessenlage in Kauf genommen, wenn die Hoffnung besteht, die Zurückgebliebenen aus dem Ausland besser unterstützen und später gegebenenfalls nachziehen zu können (vgl. statt vieler jüngst Urteil</w:t>
      </w:r>
    </w:p>
    <w:p>
      <w:r>
        <w:t>F-2105/2025 Seite 7 des BVGer F-1018/2024 vom 12. Dezember 2024 E. 5.5.6). Die familiären und persönlichen Verpflichtungen des Gesuchstellers vermögen keine be- sondere Gewähr für eine Rückkehr ins Heimatland zu bieten. Zu berück- sichtigen ist auch, dass der Gesuchsteller in der Schweiz bereits über ein gewisses Beziehungsnetz verfügt, wodurch sich das Emigrationsrisiko er- höht.</w:t>
      </w:r>
    </w:p>
    <w:p>
      <w:r>
        <w:rPr>
          <w:b/>
        </w:rPr>
        <w:t>E. 4.4</w:t>
      </w:r>
    </w:p>
    <w:p>
      <w:r>
        <w:t>An dieser Einschätzung ändern auch die Zusicherungen des Gastge- bers in der Schweiz nichts. Bei der Risikobeurteilung ist in erster Linie das mögliche Verhalten eines Gastes von Bedeutung. Gastgeber und Garanten können mit rechtlich verbindlicher Wirkung zwar für gewisse finanzielle Ri- siken im Zusammenhang mit einem Besuchsaufenthalt, nicht aber für ein bestimmtes Tun oder Unterlassen ihrer Gäste einstehen (vgl. in diesem Zusammenhang auch BVGE 2009/27 E. 9).</w:t>
      </w:r>
    </w:p>
    <w:p>
      <w:r>
        <w:rPr>
          <w:b/>
        </w:rPr>
        <w:t>E. 4.5</w:t>
      </w:r>
    </w:p>
    <w:p>
      <w:r>
        <w:t>Die Schlussfolgerung der Vorinstanz, wonach die Wiederausreise des Gesuchstellers angesichts seiner individuellen Situation sowie der allge- meinen Lage der Türkei nicht als gesichert angesehen werden könne, ist nicht zu beanstanden. Mithin fehlt es an einer unabdingbaren Vorausset- zung für die Erteilung eines einheitlichen Visums für den gesamten Schen- gen-Raum.</w:t>
      </w:r>
    </w:p>
    <w:p>
      <w:r>
        <w:rPr>
          <w:b/>
        </w:rPr>
        <w:t>E. 5</w:t>
      </w:r>
    </w:p>
    <w:p>
      <w:r>
        <w:t>Gestützt auf die obigen Erwägungen erweist sich die Verweigerung der Ausstellung eines Visums durch die Vorinstanz als rechtmässig. Die ange- fochtene Verfügung ist somit im Lichte von Art. 49 VwVG nicht zu bean- standen. Die Beschwerde ist abzuweisen.</w:t>
      </w:r>
    </w:p>
    <w:p>
      <w:r>
        <w:rPr>
          <w:b/>
        </w:rPr>
        <w:t>E. 6</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am 2. April 2025 in gleicher Höhe geleis- teten Kostenvorschuss gedeckt.</w:t>
      </w:r>
    </w:p>
    <w:p>
      <w:r>
        <w:t>F-2105/2025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