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F-2098/2026 vom 26. März 2026</w:t>
      </w:r>
    </w:p>
    <w:p>
      <w:r>
        <w:t>Bundesverwaltungsgericht, 2026-03-26, FR</w:t>
      </w:r>
    </w:p>
    <w:p>
      <w:r>
        <w:rPr>
          <w:b/>
        </w:rPr>
        <w:t xml:space="preserve">Quelle: </w:t>
      </w:r>
      <w:r>
        <w:t>https://mcp.opencaselaw.ch/entscheid/bvger_F-2098_2026</w:t>
      </w:r>
    </w:p>
    <w:p>
      <w:r>
        <w:t>FR: TAF F-2098/2026 du 26 mars 2026</w:t>
      </w:r>
    </w:p>
    <w:p>
      <w:r>
        <w:t>IT: TAF F-2098/2026 del 26 marzo 2026</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1.4</w:t>
      </w:r>
    </w:p>
    <w:p>
      <w:r>
        <w:t>S'agissant de la conclusion du recours tendant à attribuer l'intéressé au canton d'Argovie, elle est irrecevable. En effet, au chiffre 4 du dispositif de la décision querellée, le SEM a certes chargé le canton de Vaud de l'exécution du transfert du recourant (art. 46 al. 1bis LAsi et art. 34 de l'ordonnance 1 sur l'asile du 11 août 1999 [OA 1, RS 142.311]). Il ne s'agit, toutefois, pas d'une attribution cantonale de l'intéressé au canton précité, au sens de l'art. 27 al. 3 LAsi, laquelle interviendra, le cas échéant, à un stade ultérieur de la procédure (art. 24 al. 4 LAsi). La conclusion du recours tendant à son attribution au canton d'Argovie sort ainsi de l'objet de la contestation et donc du litige.</w:t>
      </w:r>
    </w:p>
    <w:p>
      <w:r>
        <w:rPr>
          <w:b/>
        </w:rPr>
        <w:t>E. 2.1</w:t>
      </w:r>
    </w:p>
    <w:p>
      <w:r>
        <w:t>Saisi d'un recours contre une décision de non-entrée en matière sur une demande d'asile, le Tribunal se limite à en examiner le bien-fondé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(cf. art. 1 et 29a OA 1). En vertu de l'art. 3 par. 1 RD III, une demande de protection internationale est examinée par un seul Etat membre, qui est celui que les critères énoncés au chapitre III de ce règlement désignent comme responsable. Dans une procédure de reprise en charge, telle qu'en l'espèce, il n'y a, en principe, aucun nouvel examen de la compétence selon ledit chapitre (cf. ATAF 2019 VI/7 consid. 6.4.1.3 ; 2017 VI/5 consid. 6.2, 6.3, 8.2.1 et 8.3).</w:t>
      </w:r>
    </w:p>
    <w:p>
      <w:r>
        <w:rPr>
          <w:b/>
        </w:rPr>
        <w:t>E. 2.3</w:t>
      </w:r>
    </w:p>
    <w:p>
      <w:r>
        <w:t>En l'occurrence, à la suite de la requête soumise par le SEM dans le délai prévu à l'art. 23 par. 2 RD III, les autorités bulgares compétentes ont expressément accepté de reprendre en charge l'intéressé dans le délai fixé à l'art. 25 par. 1 RD III. Ainsi, la Bulgarie a reconnu sa compétence pour traiter la demande d'asile de la recourante. En tant que telle, cette compétence n'est du reste pas contestée.</w:t>
      </w:r>
    </w:p>
    <w:p>
      <w:r>
        <w:rPr>
          <w:b/>
        </w:rPr>
        <w:t>E. 3.1</w:t>
      </w:r>
    </w:p>
    <w:p>
      <w:r>
        <w:t>Il y a lieu, tout d'abord, d'examiner, en vertu de l'art. 3 par. 2 al. 2 RD III, s'il existe de sérieuses raisons de croire que la Bulgarie connaît des défaillances systémiques dans la procédure d'asile et les conditions d'accueil des demandeurs, lesquelles entraînent un risque de traitement inhumain ou dégradant au sens de l'art. 4 de la Charte des droits fondamentaux de l'Union européenne (JO C 364/1 du 18.12.2000, Charte UE).</w:t>
      </w:r>
    </w:p>
    <w:p>
      <w:r>
        <w:rPr>
          <w:b/>
        </w:rPr>
        <w:t>E. 3.2</w:t>
      </w:r>
    </w:p>
    <w:p>
      <w:r>
        <w:t>A l'issue d'un examen approfondi, le Tribunal a jugé que si le système d'asile bulgare présentait effectivement des carences touchant tant la procédure d'asile que les conditions d'accueil et de détention des requérants d'asile. Celles-ci, certes préoccupantes, ne constituaient en revanche pas des défaillances systémiques au sens de l'art. 3 par. 2 RD III (arrêt de référence du TAF F-7195/2018 du 11 février 2020 consid. 6 et, en particulier, consid. 6.6.7). Depuis lors, cette jurisprudence a été confirmée à maintes reprises (cf., p. ex., arrêt du TAF F-825/2026 du 11 février 2026 consid. 5.2 et les réf. citées). En conséquence, en l'absence d'une pratique avérée de violation systématique des normes communautaires minimales en la matière, le respect par la Bulgarie de ses obligations concernant les droits des requérants d'asile sur son territoire demeure présumé (cf. ATAF 2017 VI/5 consid. 8.4 ; 2010/45 consid. 7.4 et 7.5 ; arrêt du TAF F-7195/2018 précité consid. 6.6.7 et 6.6.8).</w:t>
      </w:r>
    </w:p>
    <w:p>
      <w:r>
        <w:rPr>
          <w:b/>
        </w:rPr>
        <w:t>E. 3.3</w:t>
      </w:r>
    </w:p>
    <w:p>
      <w:r>
        <w:t>Les arguments avancés par le recourant au sujet des carences de la procédure d'asile et des conditions d'accueil ainsi que des traitements dégradants qu'il aurait subis en Bulgarie - qui ne sont du reste pas étayés - ne sont à eux seuls pas suffisants pour remettre en question l'appréciation des autorités suisses à ce sujet. Cela étant, si après son retour en Bulgarie, le recourant devait être contraint par les circonstances à mener une existence non conforme à la dignité humaine, ou s'il devait estimer que ce pays viole ses obligations d'assistance à son encontre ou porte atteinte de toute autre manière à ses droits fondamentaux, il lui appartiendrait de faire valoir ses droits directement auprès des autorités bulgares compétentes en usant des voies de droit adéquates. Partant, une application de l'art. 3 par. 2 al. 2 RD III ne se justifie pas en l'espèce.</w:t>
      </w:r>
    </w:p>
    <w:p>
      <w:r>
        <w:rPr>
          <w:b/>
        </w:rPr>
        <w:t>E. 4</w:t>
      </w:r>
    </w:p>
    <w:p>
      <w:r>
        <w:t>Le recourant a soutenu souffrir de crises de panique et disposer en Suisse d'un réseau en mesure de le soutenir.</w:t>
      </w:r>
    </w:p>
    <w:p>
      <w:r>
        <w:rPr>
          <w:b/>
        </w:rPr>
        <w:t>E. 4.1</w:t>
      </w:r>
    </w:p>
    <w:p>
      <w:r>
        <w:t>A cet égard,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de la Cour EDH Paposhvili c. Belgique [GC], du 13 décembre 2016, req. 41738/10, confirmé dans l'arrêt Savran c. Danemark [GC], du 7 décembre 2021, req. 57467/15 ; ATAF 2017 VI/7 consid. 6.2 et les réf. cit.).</w:t>
      </w:r>
    </w:p>
    <w:p>
      <w:r>
        <w:rPr>
          <w:b/>
        </w:rPr>
        <w:t>E. 4.2</w:t>
      </w:r>
    </w:p>
    <w:p>
      <w:r>
        <w:t>En l'espèce, le seul rapport médical présent au dossier fait état de troubles du sommeil dans un contexte d'anxiété et de tristesse. S'agissant des crises de panique invoquées au stade du recours, force est de constater qu'elles demeurent au stade de l'allégation, l'intéressé n'ayant produit aucun document susceptible de soutenir ses affirmations. Par ailleurs, rien n'incite à penser qu'en cas de transfert, il risquerait d'être exposé à un déclin grave, rapide et irréversible de son état de santé, quand bien même son état psychique connaîtrait une dégradation importante. Il n'est pas atteint d'une maladie d'une gravité ou d'une spécificité telle qu'elle ne pourrait pas être traitée en Bulgarie, étant rappelé que, en vertu de l'art. 14 de la directive 2008/115/CE du Parlement européen et du Conseil du 16 décembre 2008 relative aux normes et procédures communes applicables dans les Etats membres au retour des ressortissants de pays tiers en séjour irrégulier (ci-après : directive Retour), l'intéressé pourra bénéficier des soins médicaux d'urgence et du traitement indispensable des maladies dont il aurait éventuellement besoin. Dès lors, et par appréciation anticipée des preuves (cf. ATF 146 III 73 consid. 5.2.2), il n'apparaît pas nécessaire d'octroyer un délai supplémentaire à l'intéressé pour fournir un rapport actualisé de sa situation médicale. Le Tribunal considère ainsi être suffisamment informé sur l'état de santé du recourant et constate que, sur le vu du dossier, celui-ci ne souffre pas de symptômes inexpliqués justifiant d'attendre un rapport supplémentaire.</w:t>
      </w:r>
    </w:p>
    <w:p>
      <w:r>
        <w:rPr>
          <w:b/>
        </w:rPr>
        <w:t>E. 4.3</w:t>
      </w:r>
    </w:p>
    <w:p>
      <w:r>
        <w:t>Dans ces conditions, le recourant ne saurait être qualifié de « particulièrement vulnérable », de sorte que nul n'est besoin d'obtenir, de la part de la Bulgarie, des garanties individuelles et concrètes s'agissant de sa reprise en charge (cf. arrêt de référence du F-7195/2018 précité, consid. 7.4.1 ss ; arrêt du TAF F-825/2026 du 11 février 2026 consid. 6.5). Par conséquent, il y a lieu de retenir que l'état de santé de l'intéressé ne saurait faire obstacle à l'exécution de son transfert vers la Bulgarie.</w:t>
      </w:r>
    </w:p>
    <w:p>
      <w:r>
        <w:rPr>
          <w:b/>
        </w:rPr>
        <w:t>E. 4.4</w:t>
      </w:r>
    </w:p>
    <w:p>
      <w:r>
        <w:t>S'agissant enfin de la présence en Suisse de la soeur du recourant, et sans remettre en cause les liens affectifs les unissant, le Tribunal constate que l'intéressé n'établit pas se trouver dans une situation de dépendance telle que requise par la jurisprudence relative à l'art. 8 CEDH et art. 16 RD III (cf. ATF 145 I 227 consid. 6.7).</w:t>
      </w:r>
    </w:p>
    <w:p>
      <w:r>
        <w:rPr>
          <w:b/>
        </w:rPr>
        <w:t>E. 5</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2022 I/6 consid. 4.3.3.1, 2015/9 consid. 8), nonobstant la préférence marquée par le recourant de voir sa procédure d'asile menée par la Suisse.</w:t>
      </w:r>
    </w:p>
    <w:p>
      <w:r>
        <w:rPr>
          <w:b/>
        </w:rPr>
        <w:t>E. 6</w:t>
      </w:r>
    </w:p>
    <w:p>
      <w:r>
        <w:t>Au regard de l'ensemble des éléments qui précèdent, c'est à bon droit que le SEM n'est pas entré en matière sur la demande d'asile de l'intéressé, en application de l'art. 31a al. 1 let. b LAsi, et qu'il a prononcé son transfert vers la Bulgarie conformément à l'art. 44 1ère phr. LAsi, étant précisé qu'aucune exception à la règle générale du renvoi n'est réalisée (cf. art. 32 OA 1). Au vu de ce qui précède, le recours doit être rejeté.</w:t>
      </w:r>
    </w:p>
    <w:p>
      <w:r>
        <w:rPr>
          <w:b/>
        </w:rPr>
        <w:t>E. 7.1</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 Le litige prenant fin, les mesures superprovisionnelles prononcées le 24 mars 2026 sont caduques.</w:t>
      </w:r>
    </w:p>
    <w:p>
      <w:r>
        <w:rPr>
          <w:b/>
        </w:rPr>
        <w:t>E. 7.2</w:t>
      </w:r>
    </w:p>
    <w:p>
      <w:r>
        <w:t>Dans la mesure où il a été immédiatement statué sur le fond, les requêtes d'octroi de l'effet suspensif et de dispense du versement d'une avance de frais sont sans objet.</w:t>
      </w:r>
    </w:p>
    <w:p>
      <w:r>
        <w:rPr>
          <w:b/>
        </w:rPr>
        <w:t>E. 7.3</w:t>
      </w:r>
    </w:p>
    <w:p>
      <w:r>
        <w:t>Les conclusions du recours étant d'emblée vouées à l'échec, la requête d'assistance judiciaire totale est rejetée (art. 65 al. 1 PA).</w:t>
      </w:r>
    </w:p>
    <w:p>
      <w:r>
        <w:rPr>
          <w:b/>
        </w:rPr>
        <w:t>E. 7.4</w:t>
      </w:r>
    </w:p>
    <w:p>
      <w:r>
        <w:t>L'intéressé a sollicité un délai supplémentaire pour motiver son recours. A supposer que le recourant requière ainsi un délai pour remettre un mémoire complémentaire (cf. art. 53 PA), il ne fournit aucun motif en ce sens ni ne justifie en quoi l'affaire présenterait une difficulté particulière ou serait d'une étendue exceptionnelle justifiant l'octroi d'un délai supplémentaire, étant précisé que la décision querellée lui a été communiquée par la représentation juridique le jour-même de sa notification. Dans ces conditions, une éventuelle demande d'octroi de délai supplémentaire doit être rejetée.</w:t>
      </w:r>
    </w:p>
    <w:p>
      <w:r>
        <w:rPr>
          <w:b/>
        </w:rPr>
        <w:t>E. 7.5</w:t>
      </w:r>
    </w:p>
    <w:p>
      <w:r>
        <w:t>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