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F-2097/2021 vom 11. Mai 2021</w:t>
      </w:r>
    </w:p>
    <w:p>
      <w:r>
        <w:t>Bundesverwaltungsgericht, 2021-05-11, DE</w:t>
      </w:r>
    </w:p>
    <w:p>
      <w:r>
        <w:rPr>
          <w:b/>
        </w:rPr>
        <w:t xml:space="preserve">Quelle: </w:t>
      </w:r>
      <w:r>
        <w:t>https://mcp.opencaselaw.ch/entscheid/bvger_F-2097_2021</w:t>
      </w:r>
    </w:p>
    <w:p>
      <w:r>
        <w:t>FR: TAF F-2097/2021 du 11 mai 2021</w:t>
      </w:r>
    </w:p>
    <w:p>
      <w:r>
        <w:t>IT: TAF F-2097/2021 del 11 maggio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 unter Vorbehalt nachfolgender Erwägung - einzutreten.</w:t>
      </w:r>
    </w:p>
    <w:p>
      <w:r>
        <w:rPr>
          <w:b/>
        </w:rPr>
        <w:t>E. 1.3</w:t>
      </w:r>
    </w:p>
    <w:p>
      <w:r>
        <w:t>Bei Beschwerden gegen Nichteintretensentscheide des SEM gestützt auf Art. 31a Abs. 1-3 AsylG ist die Beurteilungskompetenz der Beschwerdeinstanz grundsätzlich auf die Frage beschränkt, ob die Vorinstanz zu Recht auf das Asylgesuch nicht eingetreten ist (vgl. BVGE 2017 VI/5 E. 3.1; 2012/4 E. 2.2). Die Fragen der Anerkennung der Flüchtlingseigenschaft und der Gewährung von Asyl, die Feststellung der Unzulässigkeit, Unzumutbarkeit und Unmöglichkeit des Wegweisungsvollzugs und damit verknüpft die Anordnung einer vorläufigen Aufnahme waren demgegenüber im erstinstanzlichen Verfahren nicht zu prüfen. Sie können folglich nicht zum Thema des Beschwerdeverfahrens gemacht werden, weshalb auf die entsprechenden Rechtsbegehren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noch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Beschwerdeführer war gemäss eigenen Angaben gegenüber der Vorinstanz illegal über Italien in den Dublin-Raum gelangt. Die Vorinstanz ging deshalb zu Recht gestützt auf Art. 13 Abs. 1 Dublin-III-VO von einer Zuständigkeit Italiens aus und richtete ein entsprechendes Übernahmebegehren an diesen Dublin-Mitgliedstaat. Nachdem die italienischen Behörden sich innert der in Art. 22 Abs. 1 Dublin-III-VO festgelegten Frist nicht zum Aufnahmegesuch geäussert haben, steht die grundsätzliche Zuständigkeit Italiens fest (Art. 22 Abs. 7 Dublin-III-VO). Sie wird vom Beschwerdeführer auch nicht bestritten.</w:t>
      </w:r>
    </w:p>
    <w:p>
      <w:r>
        <w:rPr>
          <w:b/>
        </w:rPr>
        <w:t>E. 4</w:t>
      </w:r>
    </w:p>
    <w:p>
      <w:r>
        <w:t>Das Bundesverwaltungsgericht geht in ständiger Rechtsprechung davon aus, dass das italienische Asylsystem - trotz punktueller Schwachstellen - keine systemischen Mängel im Sinn von Art. 3 Abs. 2 zweiter Satz Dublin-III-VO aufweist (vgl. Referenzurteil E-962/2019 vom 17. Dezember 2019 E. 6.3 sowie Urteil D-2846/2020 vom 16. Juli 2020 E. 6.1). Etwas anders wird vom Beschwerdeführer auch nicht geltend gemacht. Folglich bestand für die Vorinstanz kein Anlass zur Übernahme der Zuständigkeit gestützt auf die genannte Bestimmung.</w:t>
      </w:r>
    </w:p>
    <w:p>
      <w:r>
        <w:rPr>
          <w:b/>
        </w:rPr>
        <w:t>E. 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5.1</w:t>
      </w:r>
    </w:p>
    <w:p>
      <w:r>
        <w:t>Der Beschwerdeführer beruft sich sinngemäss auf dieses Selbsteintrittsrecht und begründet das mit einer Angst vor Bedrohung und Verfolgung durch mafiöse Banden in Italien und damit, dass ihn diese Situation psychisch belaste; er finde keine Ruhe und werde verrückt, wenn er wieder nach Italien zurückgehen müsse. Die Angst, dort getötet zu werden, sei sehr gross.</w:t>
      </w:r>
    </w:p>
    <w:p>
      <w:r>
        <w:rPr>
          <w:b/>
        </w:rPr>
        <w:t>E. 5.2</w:t>
      </w:r>
    </w:p>
    <w:p>
      <w:r>
        <w:t>Italien ist Signatarstaat der EMRK, des Übereinkommens vom 10. Dezember 1984 gegen Folter und andere grausame, unmenschliche oder erniedrigende Behandlung oder Strafe (FoK, SR 0.105) und des Abkommens vom 28. Juli 1951 über die Rechtstellung der Flüchtlinge (FK, SR 0.142.30) sowie des Zusatzprotokolls der FK vom 3. Januar 1967 (SR 0.142.301). Das Gericht geht in ständiger Rechtsprechung davon aus, dass der italienische Staat seinen diesbezüglichen völkerrechtlichen Verpflichtungen nachkommt.</w:t>
      </w:r>
    </w:p>
    <w:p>
      <w:r>
        <w:rPr>
          <w:b/>
        </w:rPr>
        <w:t>E. 5.3</w:t>
      </w:r>
    </w:p>
    <w:p>
      <w:r>
        <w:t>Auch ist anzunehmen, der italienische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5.4</w:t>
      </w:r>
    </w:p>
    <w:p>
      <w:r>
        <w:t>Schliesslich kann ganz allgemein davon ausgegangen werden, Italien verfüge über ein funktionierendes Polizeiwesen, das Willens und in der Lage ist, die Bewohnerinnen und Bewohner des Landes im Bedarfsfall zu schützen und Verbrechen wirksam zu bekämpfen.</w:t>
      </w:r>
    </w:p>
    <w:p>
      <w:r>
        <w:rPr>
          <w:b/>
        </w:rPr>
        <w:t>E. 5.5</w:t>
      </w:r>
    </w:p>
    <w:p>
      <w:r>
        <w:t>Die vom Beschwerdeführer für den Fall einer Überstellung geäusserten Befürchtungen rechtfertigen einen Selbsteintritt der Schweiz weder aus humanitären noch aus anderen Gründen. Der Beschwerdeführer gab in seiner Rechtsmitteleingabe selbst zu erkennen, dass er während seines kurzen Aufenthalts in Italien polizeiliche Hilfestellungen nicht in Anspruch genommen habe. Was die von ihm beschwerdeweise geltend gemachten - in einem engen Zusammenhang mit der behaupteten Bedrohungslage stehenden - psychischen Beeinträchtigungen betrifft, so haben diese ganz offensichtlich nicht ein Ausmass, welches geeignet wäre, für den Fall ihrer Nichtbeachtung einen Verstoss gegen Art. 3 EMRK zu begründen. Dagegen spricht schon die Tatsache, dass der Beschwerdeführer diese nunmehr geltend gemachten Beeinträchtigungen selbst bei von ihm (...) (wegen einer Hauterkrankung) in Anspruch genommenen medizinischen Konsultationen nicht thematisierte. Eine rechtlich erhebliche gesundheitliche Beeinträchtigung würde voraussetzen, dass eine schwere Erkrankung vorliegt und für die betroffene Person im Falle der Abschiebung die reale Gefahr besteht, dass sich ihr Gesundheitszustand - mangels angemessener medizinischer Behandlung im Zielstaat -rasch und unwiederbringlich verschlechtert, intensive Leiden oder eine erhebliche Verkürzung der Lebenserwartung zu befürchten wären (vgl. Urteil des EGMR Paposhvili gegen Belgien 13. Dezember 2016, Grosse Kammer 41738/10, §§ 180-193 m.w.H.).</w:t>
      </w:r>
    </w:p>
    <w:p>
      <w:r>
        <w:rPr>
          <w:b/>
        </w:rPr>
        <w:t>E. 5.6</w:t>
      </w:r>
    </w:p>
    <w:p>
      <w:r>
        <w:t>Im Übrigen verfügt Italien über eine ausreichende medizinische Infrastruktur (vgl. Urteil des BVGer F-444/2021 vom 8 Februar 2021 E. 6.1 in fine).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Indizien dafür vor, dass Italien dem Beschwerdeführer eine adäquate medizinische Behandlung verweigern würde.</w:t>
      </w:r>
    </w:p>
    <w:p>
      <w:r>
        <w:rPr>
          <w:b/>
        </w:rPr>
        <w:t>E. 5.7</w:t>
      </w:r>
    </w:p>
    <w:p>
      <w:r>
        <w:t>Festzuhalten gilt ferner, dass die schweizerischen Behörden, die mit dem Vollzug der angefochtenen Verfügung beauftragt sind, allfälligen medizinischen Besonderheiten bei der Bestimmung der konkreten Modalitäten der Überstellung Rechnung tragen und die Behörden des Aufnahmestaates vorgängig in geeigneter Weise über spezifische medizinische Bedürfnisse informieren (vgl. Art. 31 f. Dublin-III-VO).</w:t>
      </w:r>
    </w:p>
    <w:p>
      <w:r>
        <w:rPr>
          <w:b/>
        </w:rPr>
        <w:t>E. 6</w:t>
      </w:r>
    </w:p>
    <w:p>
      <w:r>
        <w:t>Liegt somit kein Grund für die Anwendung der Ermessensklausel von Art. 17 Dublin-III-VO oder von Art. 29a Abs. 3 AsylV 1 vor, so bleibt Italien zuständiger Mitgliedstaat gemäss Art. 13 Abs. 1 Dublin-III-VO. Die Vorinstanz ist demnach zu Recht gestützt auf Art. 31a Abs. 1 Bst. b AsylG auf das Asylgesuch des Beschwerdeführers nicht eingetreten und hat die Überstellung nach Italien angeordnet.</w:t>
      </w:r>
    </w:p>
    <w:p>
      <w:r>
        <w:rPr>
          <w:b/>
        </w:rPr>
        <w:t>E. 7</w:t>
      </w:r>
    </w:p>
    <w:p>
      <w:r>
        <w:t>Die Beschwerde ist aus den dargelegten Gründen abzuweisen, soweit darauf eingetreten werden kann.</w:t>
      </w:r>
    </w:p>
    <w:p>
      <w:r>
        <w:rPr>
          <w:b/>
        </w:rPr>
        <w:t>E. 7.1</w:t>
      </w:r>
    </w:p>
    <w:p>
      <w:r>
        <w:t>Mit dem vorliegenden Urteil fällt der am 5. Mai 2021 angeordnete Vollzugsstopp dahin. Das Gesuch um Erteilung der aufschiebenden Wirkung der Beschwerde ist gegenstandslos geworden.</w:t>
      </w:r>
    </w:p>
    <w:p>
      <w:r>
        <w:rPr>
          <w:b/>
        </w:rPr>
        <w:t>E. 7.2</w:t>
      </w:r>
    </w:p>
    <w:p>
      <w:r>
        <w:t>Das Gesuch um Gewährung der unentgeltlichen Prozessführung ist abzuweisen, da die Begehren - wie sich aus den vorstehenden Erwägungen ergibt - als aussichtslos zu bezeichnen sind. Mangels Erfüllung der Voraussetzungen von Art. 65 Abs. 1 VwVG ist das Gesuch um Einsetzung eines amtlichen Rechtsbeistands im Sinne von Art. 102m Abs. 1 Bst. a und Abs. 4 AsylG abzuweisen.</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