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F-2090/2022 vom 27. April 2022</w:t>
      </w:r>
    </w:p>
    <w:p>
      <w:r>
        <w:t>Bundesverwaltungsgericht, 2022-04-27, FR</w:t>
      </w:r>
    </w:p>
    <w:p>
      <w:r>
        <w:rPr>
          <w:b/>
        </w:rPr>
        <w:t xml:space="preserve">Quelle: </w:t>
      </w:r>
      <w:r>
        <w:t>https://mcp.opencaselaw.ch/entscheid/bvger_F-2090_2022_d20220427</w:t>
      </w:r>
    </w:p>
    <w:p>
      <w:r>
        <w:t>FR: TAF F-2090/2022 du 27 avril 2022</w:t>
      </w:r>
    </w:p>
    <w:p>
      <w:r>
        <w:t>IT: TAF F-2090/2022 del 27 aprile 2022</w:t>
      </w:r>
    </w:p>
    <w:p>
      <w:pPr>
        <w:pStyle w:val="Heading2"/>
      </w:pPr>
      <w:r>
        <w:t>Regeste</w:t>
      </w:r>
    </w:p>
    <w:p>
      <w:r>
        <w:t>Asile (non-entr&amp;eacute;e en mati&amp;egrave;re / proc&amp;eacute;dure Dublin) et renvoi | Asile (non-entrée en matière / procédure Dublin) et renvoi; décision du SEM du 27 avril 2022</w:t>
      </w:r>
    </w:p>
    <w:p>
      <w:pPr>
        <w:pStyle w:val="Heading2"/>
      </w:pPr>
      <w:r>
        <w:t>Erwägungen</w:t>
      </w:r>
    </w:p>
    <w:p>
      <w:r>
        <w:rPr>
          <w:b/>
        </w:rPr>
        <w:t>E. 2</w:t>
      </w:r>
    </w:p>
    <w:p>
      <w:r>
        <w:t>; arrêt du TAF F-2210/2019 du 15 mai 2019 consid. 2), que selon le recourant, le SEM n’aurait pas suffisamment pris en compte sa déclaration selon laquelle il « est entré en Europe par la Croatie au 3ème essai » alors qu’elle laisserait entendre qu’à deux reprises, il a été exposé à une pratique de refoulement (« push-back »), que dès lors, l’autorité intimée aurait dû instruire d’avantage ce point et le prendre en compte dans la motivation de sa décision, laquelle est standardisée et « stéréotypée »,</w:t>
      </w:r>
    </w:p>
    <w:p>
      <w:r>
        <w:t>F-2090/2022 Page 6 qu’en particulier, ces éléments auraient dû être examinés dans la cadre d’une application éventuelle de la clause de souveraineté de l’art. 17 par. 1 du règlement Dublin III, que pour rappel, selon la maxime inquisitoire, applicable en procédure administrative, il appartient à l’autorité – en l’espèce au SEM – d’élucider l’état de fait de manière exacte et complète, que l’autorité peut toutefois limiter son examen aux faits déterminants pour l’issue du litige (art. 12 PA ; ATAF 2014/2 consid. 5.1 ; 2007/37 consid. 2.3 et réf. cit. ; 2009/60 consid. 2.2.1), qu’en outre, la maxime inquisitoire doit être relativisée par le devoir de collaboration de la partie à l'établissement des faits (art. 13 PA et art. 8 LAsi), que l'établissement des faits est incomplet au sens de l'art. 106 al. 1 let. b LAsi lorsque toutes les circonstances de fait et les moyens de preuve déterminants pour la décision n'ont pas été pris en compte par l'autorité inférieure (ATAF 2014/2 consid. 5.1, 2012/21 consid. 5.1 et 2007/37 consid. 2.3 ; Benoît BOVAY, Procédure administrative, 2ème éd., 2015, p. 615), que pour ce qui est de l’obligation de motiver, celle-ci, déduite du droit d’être entendu (art. 29 al. 2 Cst.), est respectée lorsque l'autorité mentionne, au moins brièvement, les motifs qui l'ont guidée et sur lesquels elle a fondé sa décision de manière à ce que le requérant puisse se rendre compte de la portée de celle-ci et l'attaquer en connaissance de cause (cf. ATAF 2010/3 consid. 5, 2013/34 consid. 4.1 et 2012/23 consid. 6.1.2), qu’en revanche, l’autorité ne doit pas nécessairement se prononcer sur tous les moyens soulevés par les parties et peut se limiter aux questions décisives (cf. ATF 137 II 266 consid. 3.2 et 136 I 229 consid. 5.2), qu’il ne saurait en outre être exigé des autorités administratives, qui sont appelées à rendre de nombreuses décisions («administration de masse»), qu'elles les motivent de façon aussi développée qu'une autorité de recours, que dans ce contexte, l’utilisation de paragraphes standardisés est admissible, si tant est que l’argumentation juridique de l’autorité permette au recourant de saisir son raisonnement et, cas échéant, d’attaquer utilement la décision (cf. arrêt du TAF F-1532/2022 du 8 avril 2022 consid. 3.3.1 et jurisprudence citée),</w:t>
      </w:r>
    </w:p>
    <w:p>
      <w:r>
        <w:t>F-2090/2022 Page 7 qu’en l’espèce, s’agissant d’abord de la problématique des « push-back », il s’impose de relever d’emblée qu’à aucun moment dans son recours, l’intéressé n’a directement déclaré avoir été victime, en Croatie, d’une pratique de refoulement, que dans son argumentation, il se concentre en effet à décrire la situation générale des requérants d’asile dans ce pays, sans toutefois se référer à sa propre expérience, que ce fait enlève ainsi toute pertinence à l’allégation de l’intéressé selon laquelle le SEM n’a pas investigué sur son vécu dans le contexte d’une potentielle pratique de refoulement dont il aurait pu être victime, qu’en effet, l’intéressé ne peut pas reprocher au SEM de ne l’avoir pas questionné d’avantage sur son vécu en Croatie, alors qu’au stade du recours, lui-même ne saisit pas l’occasion de développer et de préciser ce point, que dès lors, il peut être valablement retenu que le recourant n’avait pas d’autres faits à exposer que ceux avancés au stade de son entretien Dublin, étant précisé que lors de son audition, il n’a aucunement été restreint dans sa liberté d’expression, qu’en résumé, rien n’obligeait le SEM d’investiguer plus en avant sur le vécu de l’intéressé, étant précisé en marge que, comme ci-dessus signalé, la maxime inquisitoire trouve sa limite dans l’obligation de la partie à collaborer à l’établissement des faits, que quoi qu’il en soit, en l’espèce, la Croatie a ouvert devant l’intéressé la possibilité de se voir octroyer une protection internationale en enregistrant sa demande d’asile, de sorte que le point de savoir quel était son vécu avant d’être reconnu comme un requérant d’asile manque de pertinence, qu’autrement dit, il ressort manifestement du dossier que le recourant a pu accéder en Croatie à une procédure de protection internationale, qu’ainsi, le SEM n’a pas enfreint son devoir d’instruction, que pour ce qui est de la motivation de la décision rendue, le SEM y a correctement exposé les raisons qui l’ont amené à prononcer le transfert de l’intéressé vers la Croatie, en se déterminant de manière suffisamment individualisée sur les éléments essentiels du dossier,</w:t>
      </w:r>
    </w:p>
    <w:p>
      <w:r>
        <w:t>F-2090/2022 Page 8 qu’en particulier, l’autorité intimée a rappelé et apprécié les arguments, sommaires et peu circonstanciés, avancés par l’intéressé, tout en exposant la situation régnant en Croatie et en se prononçant sur l’application éventuelle de la clause de souveraineté (cf. arrêt du TAF E-2021/2018 du 29 mai 2020 consid. 4.2.9), que la décision attaquée est donc suffisamment motivée pour que le recourant - dûment représenté - en saisit la portée et puisse l’attaquer en toute connaissance de cause, au moyen d’un mémoire de recours circonstancié (cf. ATF 138 IV 81 consid. 2.2), que dès lors, le SEM n’a commis aucune négligence procédurale et les griefs tirés de la violation de la maxime inquisitoire et du droit d’être entendu dans sa dimension de l’obligation de motiver doivent être écartés, que cela précisé, contrairement à ce que l’intéressé déclare au stade du recours, il n’y a aucune raison de considérer qu’il existe, en Croatie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voir en ce sens arrêts du TAF F-3061/2021 du 9 juillet 2021 consid. 5.2 ; E-711/2021 du 11 mars 2021 consid. 4.2.1 et F-1532/2022 du 8 avril 2022 consid. 6.2 [transferts Dublin vers la Croatie]),</w:t>
      </w:r>
    </w:p>
    <w:p>
      <w:r>
        <w:t>F-2090/2022 Page 9 que nonobstant les prises de position critiques de plusieurs organismes en la matière, notamment du Conseil de l’Europe, citées par l’intéressé dans son recours, il a été retenu que le système d’asile croate ne présente pas de défaillances systémiques ni de risques avérés de « push-backs » à la frontière avec la Bosnie-Herzégovine, s’agissant des requérants qui ont déjà déposé une demande de protection internationale en Croatie et qui sont repris en charge par cet Etat dans le cadre d’une procédure Dublin (cf. arrêts du TAF F-1532/2022 du 8 avril 2022 consid. 6.3, D-1418/2022 du 4 avril 2022 consid. 5.2.2, D-1241/2022 du 25 mars 2022 p. 5, D- 735/2022 du 28 février 2022 consid. 6.5.2, F-173/2022 du 19 janvier 2022 consid. 6.3, D-4957/2021 du 22 novembre 2021 consid. 7.1, D-3407/2021 du 29 juillet 2021 p. 7, E-3281/2021 du 22 juillet 2021 consid. 6.3, F- 3061/2021 du 9 juillet 2021 consid. 5.3, F-1275/2021 du 19 mai 2021 consid. 7.1.2, F-1182/2021 du 24 mars 2021 consid. 5.2.2, E-711/2021 du 11 mars 2021 consid. 4.2.2, D-644/2021 du 18 février 2021 consid. 7.2.2, E-5910/2020 du 10 décembre 2020 consid 7.2 et F-5436/2020 du 10 novembre 2020 consid. 5.2), qu’ainsi, comme il l’admet d’ailleurs lui-même dans son recours, l’intéressé ne peut tirer argument de l’arrêt de référence E-3078/2019 du 12 juillet 2019 qui, d’une part, n’a pas considéré que le système mis en place par la Croatie présentait des défaillances systémiques et, d’autre part, concernait la problématique des prises en charge Dublin, que, dans ces conditions, l’application de l’art. 3 par. 2 du règlement Dublin III ne se justifie pas, que la présomption de sécurité peut être aussi renversée par des éléments indiquant que, dans le cas concret, les autorités de cet Etat ne respecteraient pas le droit international, de sorte que la personne faisant l’objet du transfert courrait un risque réel de subir des traitements contraires à l’art. 3 CEDH ou encore à l’art. 3 Conv. torture (cf. ATAF 2012/27 consid. 6.4 et 2011/9 consid. 6), qu’en l’espèce, de tels indices font défaut, le recourant n’ayant fourni aucun élément concret, susceptible de démontrer que la Croatie risquerait de porter atteinte aux dispositions précitées, qu’en effet, ses allégations sur ce point, sommaires et peu circonstanciées, ne sont aucunement étayées,</w:t>
      </w:r>
    </w:p>
    <w:p>
      <w:r>
        <w:t>F-2090/2022 Page 10 que le recourant se limite à déclarer avoir eu très peur en Croatie, pays dont les autorités l’aurait forcé de déposer ses empreintes digitales, qu’ainsi, l'intéressé n'a pas démontré l’existence d’un risque concret que les autorités croates refuseraient de le reprendre en charge et de mener à terme l’examen de sa demande de protection internationale, qu’en outre, comme déjà signalé ci-dessus, il n'a fourni aucun élément concret susceptible de démontrer que la Croatie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Croatie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croates en usant des voies de droit adéquates (cf. art. 26 directive Accueil), que cela dit,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w:t>
      </w:r>
    </w:p>
    <w:p>
      <w:r>
        <w:t>F-2090/2022 Page 11 que dans son recours, l’intéressé reproche au SEM de n’avoir pas pris en compte tous les éléments pertinents afin d’examiner son cas sous l’angle de l’art. 17 par. 1 du règlement Dublin III en lien avec l’art. 29a al. 3 OA I, qu’en particulier, sa situation d’une personne « atteinte dans sa santé, ayant vécu des traumatismes » n’aurait pas été analysée de manière suffisamment individualisée, que dans la décision attaquée, le SEM a retenu que le recourant était « un jeune homme en bonne santé générale », qu’en effet, lors de son entretien Dublin, l’intéressé n’a pas allégué souffrir de problèmes de santé particuliers, mentionnant uniquement avoir « mal au nez », qu’ainsi, on ne saurait reprocher au SEM de n’avoir pas examiné la situation de l’intéressé de manière plus approfondie, qu’à cela s’ajoute qu’au stade du recours, l’intéressé n’a fourni aucun indice (certificat médical ou autre) dont on pourrait présager qu’il est effectivement atteint dans sa santé, que, partant, en retenant que le recourant est « un jeune homme en bonne santé générale », faute d’allégations contraires, le SEM a correctement évalué la situation personnelle de l’intéressé, qu’autrement dit, dans sa décision, le SEM a pris en compte tous les faits allégués par l’intéressé, susceptibles de constituer des raisons humanitaires au sens de l’art. 29a al. 3 OA 1, en lien avec l’art. 17 par. 1 du règlement Dublin III, qu’ainsi, il a exercé correctement son pouvoir d’appréciation, en examinant notamment s’il y avait lieu d’entrer en matière sur la demande d’asile pour des raisons humanitaires, et n’a pas fait preuve d’arbitraire dans son appréciation ni violé le principe de la proportionnalité ou de l’égalité de traitement,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la Croatie, en application</w:t>
      </w:r>
    </w:p>
    <w:p>
      <w:r>
        <w:t>F-2090/2022 Page 12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r>
        <w:t>F-2090/2022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