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F-2081/2016 vom 4. Mai 2018</w:t>
      </w:r>
    </w:p>
    <w:p>
      <w:r>
        <w:t>Bundesverwaltungsgericht, 2018-05-04, DE</w:t>
      </w:r>
    </w:p>
    <w:p>
      <w:r>
        <w:rPr>
          <w:b/>
        </w:rPr>
        <w:t xml:space="preserve">Quelle: </w:t>
      </w:r>
      <w:r>
        <w:t>https://mcp.opencaselaw.ch/entscheid/bvger_F-2081_2016</w:t>
      </w:r>
    </w:p>
    <w:p>
      <w:r>
        <w:t>FR: TAF F-2081/2016 du 4 mai 2018</w:t>
      </w:r>
    </w:p>
    <w:p>
      <w:r>
        <w:t>IT: TAF F-2081/2016 del 4 maggio 2018</w:t>
      </w:r>
    </w:p>
    <w:p>
      <w:pPr>
        <w:pStyle w:val="Heading2"/>
      </w:pPr>
      <w:r>
        <w:t>Regeste</w:t>
      </w:r>
    </w:p>
    <w:p>
      <w:r>
        <w:t>Sozialhilfe an Auslandschweizer</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3.2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der Verordnung über Schweizer Personen und Institutionen im Ausland vom 7. Oktober 2015 [Auslandschweizerverordnung, V-ASG; 195.11]).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 Besagte Kriterien werden in den Richtlinien der KD zur Sozialhilfe für Auslandschweizerinnen und Auslandschweizer (gültig ab 1. Januar 2016; nachfolgend: Richtlinien) konkretisiert (vgl. www.eda.admin.ch &gt; Dienstleistungen und Publikationen &gt; Dienstleistungen für Schweizer Staatsangehörige im Ausland &gt; Sozialhilfe für Auslandschweizerinnen und Auslandschweizer (SAS) &gt; rechtliche Grundlagen &gt; Richtlinien). Erscheint der Verbleib im Empfangsstaat nicht gerechtfertigt, kann dem oder der Bedürftigen die Rückkehr in die Schweiz nahegelegt werden, wobei der Bund anstelle der Unterstützung im Ausland die Rückkehrkosten übernimmt (vgl. Art. 30 ASG).</w:t>
      </w:r>
    </w:p>
    <w:p>
      <w:r>
        <w:rPr>
          <w:b/>
        </w:rPr>
        <w:t>E. 3.3</w:t>
      </w:r>
    </w:p>
    <w:p>
      <w:r>
        <w:t>Die allfällige Bedürftigkeit einer Person wird - um dem Gleichbehandlungsgebot Rechnung zu tragen - in jedem Unterstützungsfall auf der Grundlage eines Haushaltsbudgets festgestellt. Jedem Gesuch um Ausrichtung von Sozialhilfeleistungen ist daher eine solches Budget beizulegen, in welchem die anrechenbaren Einnahmen der gesuchstellenden Person ihren anerkannten Ausgaben gegenüber gestellt sind (vgl. Art. 19 Abs. 1 Bst. a und Art. 21 f. V-ASG sowie Ziff. 2.1 der Richtlinien). Bei der Berechnung des Budgets stützen sich die zuständigen Behörden auf die allgemeinen sozialhilferechtlichen Grundsätze (beispielsweise die Empfehlungen der Schweizerischen Konferenz für Sozialhilfe [SKOS] oder die Richtlinien der KD).</w:t>
      </w:r>
    </w:p>
    <w:p>
      <w:r>
        <w:rPr>
          <w:b/>
        </w:rPr>
        <w:t>E. 4.1</w:t>
      </w:r>
    </w:p>
    <w:p>
      <w:r>
        <w:t>Dass der Beschwerdeführer bedürftig ist bzw. für den für das vorliegende Verfahren massgebenden Zeitraum (1. Februar 2016 bis 30. April 2016) bedürftig war, ist unbestritten. Zu prüfen bleiben somit die vom Gesuch des Beschwerdeführers abweichenden Budgetpositionen - soweit von ihm beanstandet - sowie die Rechtmässigkeit der Auflage (Umzug in ein kostengünstigeres Logis bis Ende April 2016).</w:t>
      </w:r>
    </w:p>
    <w:p>
      <w:r>
        <w:rPr>
          <w:b/>
        </w:rPr>
        <w:t>E. 4.2</w:t>
      </w:r>
    </w:p>
    <w:p>
      <w:r>
        <w:t>Das Haushaltsgeld (Grundbetrag) wird anhand von Art. 23 Abs. 1 V-ASG i.V.m. Ziff. 2.2.1 der Richtlinien berechnet und deckt nur einen Teil jener Kosten, die im Grundbedarf gemäss SKOS (Schweizerische Konferenz für Soziallhilfe) von der in der Schweiz erbrachten Sozialhilfe abgedeckt würden. Dieser Betrag (CHF 565.-) wird jeweils auf die länderspezifische Kaufkraft umgerechnet. Abgestützt auf die Indices der OECD, UBS und weitere Angaben des Landes, wie Existenzminimum und Minimumlöhne, beträgt das Haushaltsgeld 2016 für die Philippinen - wie von der Vorinstanz im Budget berücksichtigt - PHP 8'500.- für eine Person pro Monat. Dieser Betrag wird vom Beschwerdeführer denn auch nicht bestritten. In Frage gestellt wird von ihm die davon berechneten 10% für Taschengeld (Ziff. 2.2.2 der Richtlinien), sowie für Radio-, TV-Telefon- und Internetgebühren (Ziff. 2.2.4 der Richtlinien). Seiner Ansicht nach mache diese 10%-Regel keinen Sinn, da die Verhältnisse in der Schweiz anders seien. Indem jedoch das Taschengeld prozentual zum länderabhängigen Haushaltsgeld berechnet wird, werden die Verhältnisse - entgegen den Vorbringen des Beschwerdeführers - in den einzelnen Ländern berücksichtigt. Insofern hat die Vorinstanz den konkreten Begebenheiten angemessen Rechnung getragen. Dies gilt ebenfalls für die Internetgebühren, auch wenn der Beschwerdeführer für das Abonnement PHP 1'500.- im Monat bezahlt. Zwar sind im Budget grundsätzlich die effektiven Ausgaben zu berücksichtigen, diese dürfen aber 10% des Haushaltsgeldes nicht übersteigen. Aus diesem Grund wurden im Budget PHP 850.- als Ausgaben für Radio, TV, Telefon und Internet berechnet, was unter Beachtung von Ziff. 2.2.4 der Richtlinien nicht zu beanstanden ist.</w:t>
      </w:r>
    </w:p>
    <w:p>
      <w:r>
        <w:rPr>
          <w:b/>
        </w:rPr>
        <w:t>E. 4.3</w:t>
      </w:r>
    </w:p>
    <w:p>
      <w:r>
        <w:t>Die vom Beschwerdeführer geltend gemachten Beträge für Versicherungen bzw. für das Auto (vgl. das von ihm am 6. Januar 2016 erstellte Budget) wurden von der Vorinstanz zu Recht nicht anerkannt. Einerseits sind die Versicherungsprämien von PHP 250.- nicht belegt (vgl. Art. 21 Abs. 1 Bst. b V-ASG i.V.m. Ziff. 2.3.4 der Richtlinien). Andererseits werden in der Regel nur die Kosten für den Transport in öffentlichen Verkehrsmitteln beglichen (vgl. Ziff. 2.3.6 der Richtlinien sowie Urteil des BVGer C-5363/2009 vom 2. März 2010 E. 6.4 m.H.), weshalb dem Beschwerdeführer auch keine Entschädigung für die Reparatur seines Autos zusteht. Was den von ihm in seinem Budget aufgeführten Betrag von PHP 2'750.- für Medizin anbelangt, so werden entsprechende Ausgaben separat nach Übermittlung der entsprechenden Belege vergütet (vgl. Ziff. 3.2.3 der Richtlinien), worauf er in der angefochtenen Verfügung ausdrücklich hingewiesen wurde. Was ferner die Einwände des Beschwerdeführers gegen den ihm von der Vorinstanz zugesprochenen Betrag von PHP 4'500.- für Elektrizität und Gas betrifft, ist nicht klar, was er damit bezwecken will, zumal die effektiven Kosten für Strom gemäss seinen eigenen Angaben (vgl. seine per E-Mail an die Schweizerische Botschaft übermittelten Ausführungen vom 5. Juni 2016) unter diesem Betrag liegen.</w:t>
      </w:r>
    </w:p>
    <w:p>
      <w:r>
        <w:rPr>
          <w:b/>
        </w:rPr>
        <w:t>E. 4.4</w:t>
      </w:r>
    </w:p>
    <w:p>
      <w:r>
        <w:t>Der hauptsächliche Anfechtungsgrund seitens des Beschwerdeführers betrifft die ihm in der vorinstanzlichen Verfügung gemachte Auflage, in ein preisgünstigeres Logis umzuziehen.</w:t>
      </w:r>
    </w:p>
    <w:p>
      <w:r>
        <w:rPr>
          <w:b/>
        </w:rPr>
        <w:t>E. 4.4.1</w:t>
      </w:r>
    </w:p>
    <w:p>
      <w:r>
        <w:t>Gemäss Art. 28 ASG kann die Sozialhilfe mit Bedingungen und Auflagen verbunden werden, wobei die Auflage verhältnismässig sein muss und nicht sachfremd sein darf (Ziff. 8.3.4 der Richtlinien). Insbesondere die Auflage, in eine preisgünstigere Wohnung umzuziehen, gilt mit Sicherheit nicht als sachfremd. Bei der Beurteilung der Verhältnismässigkeit bzw. der Zumutbarkeit ist u.a. die Gesundheit der betroffenen Person zu berücksichtigen (vgl. Entscheid VB.2013.00044 des Verwaltungsgerichts des Kantons Zürich vom 25. Februar 2013 E. 2.5). Im Sinne der Eigenverantwortung bzw. Selbsthilfe ist die hilfesuchende Person allgemein verpflichtet, alles Zumutbare zu unternehmen, um eine Notlage aus eigenen Kräften abzuwenden oder zu beheben (Art. 24 ASG und Ziff. 1.2 der Richtlinien sowie Kapitel A.4 der Richtlinien für die Ausgestaltung und Bemessung der Sozialhilfe der SKOS vom April 2005, &lt; https://www.skos.ch/fileadmin/_migrated/content_uploads/2017_SKOS-Richtlinien-komplett-d.pdf &gt;, abgerufen im April 2018).</w:t>
      </w:r>
    </w:p>
    <w:p>
      <w:r>
        <w:rPr>
          <w:b/>
        </w:rPr>
        <w:t>E. 4.4.2</w:t>
      </w:r>
    </w:p>
    <w:p>
      <w:r>
        <w:t>Der Beschwerdeführer wohnt in einem Haus mit einem Mietzins von PHP 15'000.-. Allerdings sind günstigere Logis bereits ab einem Betrag von PHP 7'000.- erhältlich, was von ihm auch nicht bestritten wird. Er selbst habe sogar ein Haus mit einem Mietzins von PHP 2'500.- gesehen, allerdings nur mit drei Zimmern (vgl. die diesbezüglichen Ausführungen in seiner E-Mail vom 5. Juni 2016). Er bestreitet jedoch die Auflage, weil "sein Haushalt" nicht in eine kleinere Wohnung passe und er seine fünf Hunde nicht mitnehmen könne. Ausserdem brauche er wegen seiner Gesundheit eine ruhige Wohnung.</w:t>
      </w:r>
    </w:p>
    <w:p>
      <w:r>
        <w:rPr>
          <w:b/>
        </w:rPr>
        <w:t>E. 4.4.3</w:t>
      </w:r>
    </w:p>
    <w:p>
      <w:r>
        <w:t>Wie schon von der Vorinstanz in ihrer Vernehmlassung zu Recht festgehalten, ist es dem Beschwerdeführer zuzumuten, seinen Hausrat zu verkleinern, damit die Möbel in einem kleineren Haus bzw. einer kleineren Wohnung Platz haben. Zusätzlich könnte er durch den Verkauf eines Teils seines Hausrates die Unterstützungskosten reduzieren. Je nach Grösse und Gestaltung der günstigeren Wohnung müsste er die Anzahl Hunde reduzieren bzw. andere Tierhaltungsmöglichkeiten in Betracht ziehen, was ihm ebenfalls zuzumuten ist. Denn es ist nicht Aufgabe der Sozialhilfe, dem Beschwerdeführer ein teures Haus zu finanzieren, nur weil er Platz für mehrere Haustiere benötigt. Was die fehlenden finanziellen Mittel für den Umzug und das Mietzinsdepot betrifft, so werden diese grundsätzlich von der Sozialhilfe übernommen. In Bezug auf die Umzugskosten gilt dies jedoch nur für den notwendigen Hausrat. Darüber kann aber erst bei Vorliegen eines entsprechenden Gesuchs befunden werden. Schliesslich spricht auch der Gesundheitszustand des Beschwerdeführers nicht gegen den Umzug in eine preisgünstigere Wohnung. Aus dem bei den Akten liegenden Arztzeugnis vom 9. März 2016 kann nämlich nicht entnommen werden, dass er einer besonders ruhigen Umgebung bedarf. Selbst wenn - wie vom Beschwerdeführer vorgebracht - aus diesem Arztzeugnis nur die halbe Wahrheit hervorgeht, steht es ihm im Übrigen frei, in eine günstigere Wohnung in einer relativ ruhigen Umgebung umzuziehen.</w:t>
      </w:r>
    </w:p>
    <w:p>
      <w:r>
        <w:rPr>
          <w:b/>
        </w:rPr>
        <w:t>E. 4.5</w:t>
      </w:r>
    </w:p>
    <w:p>
      <w:r>
        <w:t>Zusammenfassend ergibt sich, dass die Vorinstanz das Budget als Grundlage für die angefochtene Verfügung (wiederkehrende Unterstützungsleistungen von PHP 33'010.- im Monat) in rechtskonformer Weise erstellt hat und die damit verbundene Auflage (Umzug in ein kostengünstigeres Logis bis Ende April 2016) sachgerecht und verhältnismässig war.</w:t>
      </w:r>
    </w:p>
    <w:p>
      <w:r>
        <w:rPr>
          <w:b/>
        </w:rPr>
        <w:t>E. 5</w:t>
      </w:r>
    </w:p>
    <w:p>
      <w:r>
        <w:t>Demnach gelangt das Bundesverwaltungsgericht zum Schluss, dass die angefochtene Verfügung Bundesrecht nicht verletzt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