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F-2060/2019 vom 10. Mai 2019</w:t>
      </w:r>
    </w:p>
    <w:p>
      <w:r>
        <w:t>Bundesverwaltungsgericht, 2019-05-10, DE</w:t>
      </w:r>
    </w:p>
    <w:p>
      <w:r>
        <w:rPr>
          <w:b/>
        </w:rPr>
        <w:t xml:space="preserve">Quelle: </w:t>
      </w:r>
      <w:r>
        <w:t>https://mcp.opencaselaw.ch/entscheid/bvger_F-2060_2019</w:t>
      </w:r>
    </w:p>
    <w:p>
      <w:r>
        <w:t>FR: TAF F-2060/2019 du 10 mai 2019</w:t>
      </w:r>
    </w:p>
    <w:p>
      <w:r>
        <w:t>IT: TAF F-2060/2019 del 10 maggio 2019</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Referenzen F-2060/2019 (Beschwerdeführer 1) und F-2061/2019 (Beschwerdeführerinnen 2 und 3) erfasst. Aufgrund des engen persönlichen und sachlichen Zusammenhangs rechtfertigt es sich, die beiden Beschwerdeverfahren zu vereinigen.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22a Abs. 1 Bst. a und Art. 52 VwVG). 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die Durchführung eines Schriftenwechsels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ihrer Rechtsmitteleingabe machen die Beschwerdeführenden geltend, die Vorinstanz habe den Sachverhalt unvollständig abgeklärt und keinerlei Massnahmen getroffen, diesen zu vervollständigen. Auch habe sie in ihrem Entscheid keinen Bezug auf das Wohl des neugeborenen Kindes genommen und habe nicht geprüft, ob der Entscheid im Licht des Übereinkommens vom 20. November 1989 über die Rechte des Kindes (nachfolgend: KRK, SR 0.107) zulässig sei. Damit machen die Beschwerdeführenden eine Verletzung ihrer Verfahrensrechte, insbesondere des Anspruchs auf rechtliches Gehör (Art. 29 Abs. 2 BV), geltend.</w:t>
      </w:r>
    </w:p>
    <w:p>
      <w:r>
        <w:rPr>
          <w:b/>
        </w:rPr>
        <w:t>E. 3.2</w:t>
      </w:r>
    </w:p>
    <w:p>
      <w:r>
        <w:t>Die Parteien haben im Verwaltungsverfahren und im verwaltungsgerichtlichen Verfahren Anspruch auf rechtliches Gehör (Art. 29 Abs. 2 BV und Art. 29 ff. VwVG). Dazu gehört, dass die Behörde die Partei anhört, bevor sie verfügt (Art. 30 Abs. 1 VwVG) und dass sie alle erheblichen und rechtzeitigen Vorbringen der Parteien würdigt (Art. 32 Abs. 1 VwVG).</w:t>
      </w:r>
    </w:p>
    <w:p>
      <w:r>
        <w:rPr>
          <w:b/>
        </w:rPr>
        <w:t>E. 3.3</w:t>
      </w:r>
    </w:p>
    <w:p>
      <w:r>
        <w:t>Die Beschwerdeführenden 1 und 2 wurden am 26. Februar 2019 anlässlich der BzP eingehend zu ihrer persönlichen Situation befragt (SEM-act. A8 und A9). Anlässlich dieser Gespräche wurde ihnen auch das rechtliche Gehör zu einer möglichen Überstellung nach Rumänien gewährt, wobei sie sich insbesondere zu ihrer gesundheitlichen Verfassung und zu den allfälligen Gründen, die gegen eine Rückkehr nach Rumänien sprechen, äussern konnten (SEM-act. A8 Ziff. 8.01 f.; A9 Ziff. 8.01 f.). Die Beschwerdeführenden merkten dabei an, aus Angst vor ihren Familien wegen der vorehelichen Beziehung der Beschwerdeführerin 2 sowie der generellen Situation von Asylsuchenden in Rumänien nicht dorthin zurückkehren zu wollen. Zudem habe die Beschwerdeführerin 2 gesundheitliche Beschwerden aufgrund ihrer Schwangerschaft. Die Vorinstanz hat den Beschwerdeführenden entsprechend in genügender Weise Gelegenheit gegeben, sich zu äussern und die Gründe für ihre Vorbehalte gegen eine Rücküberführung nach Rumänien darzulegen. In Würdigung dieser Vorbringen ist die Vorinstanz zum Schluss gekommen, dass die Beschwerdeführenden in Rumänien keinen gravierenden Menschenrechtsverletzungen ausgesetzt werden; der Staat halte sich an seine völkerrechtlichen Verpflichtungen. Wie nachfolgend in E. 5-7 aufgezeigt wird, ist davon auszugehen, dass Rumänien seine daraus fliessenden Pflichten einhält und die Aufnahmerichtlinie sowie insbesondere das Refoulement-Verbot respektiert. Diesbezüglich hat die Vorinstanz den Anspruch auf rechtliches Gehör nicht verletzt.</w:t>
      </w:r>
    </w:p>
    <w:p>
      <w:r>
        <w:rPr>
          <w:b/>
        </w:rPr>
        <w:t>E. 3.4</w:t>
      </w:r>
    </w:p>
    <w:p>
      <w:r>
        <w:t>Neben den Ausführungen zur allgemeinen Situation von Asylsuchenden in Rumänien und der Feststellung, es gebe keine Gründe zur Annahme, dass das Asylverfahren und die Aufnahmebedingungen für Asylsuchende in Rumänien Schwachstellen aufweisen, geht die Vorinstanz jedoch nicht konkret auf die Situation der neugeborenen Beschwerdeführerin 3 und die Einhaltung ihrer aus der KRK fliessenden Rechte und das Kindeswohl ein. Die Vorinstanz ist ihrer Begründungspflicht in diesem Punkt folglich nur unzureichend nachgekommen. Da die Beschwerdeführenden im Rahmen ihrer Replik diesbezüglich jedoch Stellung nehmen und sachgerecht gegen die Verfügung vorgehen konnten, würde eine Kassation des angefochtenen Entscheids zu einem prozessualen Leerlauf führen und dem Interesse der Beschwerdeführenden nach einer beförderlichen Beurteilung zuwiderlaufen. Demnach erscheint eine Heilung der gerügten Gehörsverletzung durch das Bundesverwaltungsgericht vorliegend ausnahmsweise gerechtfertigt (vgl. BGE 137 I 195 E. 2.3.2 sowie BVGE 2012/34 E. 3.4 je m.H.). Die festgestellte Gehörsverletzung ist jedoch bei der Festlegung der Nebenfolgen zu berücksichtigen (Urteil des BGer 1C_40/2015 vom 18. September 2015 E. 7).</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seinen Antrag während der Antragsprüfung zurückgezogen und in einem anderen Mitgliedstaat einen Antrag gestellt hat oder der sich im Hoheitsgebiet eines anderen Mitgliedstaats ohne Aufenthaltstitel aufhält, nach Massgabe der Artikel 23, 24, 25 und 29 wieder aufzunehmen (Art. 18 Abs. 1 Bst. b und c Dublin-III-VO).</w:t>
      </w:r>
    </w:p>
    <w:p>
      <w:r>
        <w:rPr>
          <w:b/>
        </w:rPr>
        <w:t>E. 5.1</w:t>
      </w:r>
    </w:p>
    <w:p>
      <w:r>
        <w:t>Den vorliegenden Akten ist zu entnehmen, dass die Beschwerdeführerin 2 am 5. Januar 2019 und der Beschwerdeführer 1 am 6. Januar 2019 in Rumänien ein Asylgesuch eingereicht hatten (SEM-act. A5). Das SEM ersuchte deshalb die rumänischen Behörden am 14. März 2019 um Wiederaufnahme der Beschwerdeführenden 1 und 2 gestützt auf Art. 18 Abs. 1 Bst. b Dublin-III-VO (SEM-act. A16). Die rumänischen Behörden stimmten den Gesuchen um Übernahme am 26. März 2019 zu (SEM-act. A18).</w:t>
      </w:r>
    </w:p>
    <w:p>
      <w:r>
        <w:rPr>
          <w:b/>
        </w:rPr>
        <w:t>E. 5.2</w:t>
      </w:r>
    </w:p>
    <w:p>
      <w:r>
        <w:t>Am 3. April 2019 informierte die Vorinstanz die rumänischen Behörden über die Geburt der Beschwerdeführerin 3, für deren Asylgesuch gemäss Art. 20 Abs. 3 Dublin-III-Verordnung ebenfalls Rumänien zuständig ist.</w:t>
      </w:r>
    </w:p>
    <w:p>
      <w:r>
        <w:rPr>
          <w:b/>
        </w:rPr>
        <w:t>E. 5.3</w:t>
      </w:r>
    </w:p>
    <w:p>
      <w:r>
        <w:t>Die grundsätzliche Zuständigkeit Rumäniens für die Behandlung der Asylgesuche der Beschwerdeführenden ist somit gegeben.</w:t>
      </w:r>
    </w:p>
    <w:p>
      <w:r>
        <w:rPr>
          <w:b/>
        </w:rPr>
        <w:t>E. 6.1</w:t>
      </w:r>
    </w:p>
    <w:p>
      <w:r>
        <w:t>Die Beschwerdeführenden machen geltend, die Situation in Rumänien zeige sowohl auf der allgemeinen Menschenrechtslage als auch der Ebene der Lebensbedingungen von Asylsuchenden sowie hinsichtlich der Schutzwilligkeit und der Anwendung des Non-Refoulement-Gebots systemische Schwachstellen auf, weshalb die Schweiz zwingend selbst auf die Asylgesuche einzutreten habe. Der Beschwerdeführer 1, seine Lebenspartnerin (Beschwerdeführerin 2) sowie ihr neugeborenes Kind (Beschwerdeführerin 3) seien als verletzliche Personen zu bezeichnen, für die in Rumänien nur wenige geeignete Plätze vorhanden seien. Die gemeinsame Tochter (Beschwerdeführerin 3) sei rund ein Monat zu früh zur Welt gekommen. Das Baby sei noch extrem schwach und müsse engmaschig medizinisch betreut werden, da es unter Atemnot und Verdauungsproblemen leide. Der Beschwerdeführer 1 habe zudem gravierende Rückenprobleme und starke Schmerzen deswegen; er benötige wohl eine Operation. Zudem seien sie in Rumänien von den Behörden geschlagen, schikaniert und bedroht worden. In der Haft sei dem Beschwerdeführer 1 nichts zu essen gegeben worden (vgl. zum Ganzen die beiden Beschwerdeschriften in BVGer-act. 1 der beiden Beschwerdedossiers).</w:t>
      </w:r>
    </w:p>
    <w:p>
      <w:r>
        <w:rPr>
          <w:b/>
        </w:rPr>
        <w:t>E. 6.2</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6.3</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rumänischen Asylsystem erkannt (vgl. zum Ganzen zuletzt das Urteil des BVGer D-6582/2018 vom 28. November 2018 E. 8; auch zum Folgenden). Die Vorinstanz ist auch nicht gehalten, Zusicherungen der rumänischen Behörden bezüglich der Unterbringung und der Wahrung der Einheit der Familie in Rumänien einzuholen. Es ist vielmehr davon auszugehen, dass Rumänien seinen Verpflichtungen aus der Verfahrens- sowie der Aufnahmerichtlinie insoweit nachkommt und dabei auch die Familieneinheit sowie das Kindeswohl im Sinn der KRK angemessen berücksichtigt. So sind die Beschwerdeführenden 1 und 2 offenbar schon bei ihrem ersten Aufenthalt in Rumänien nicht getrennt, sondern in denselben Aufnahmezentren untergebracht worden. An der eingangs zitierten Rechtsprechung ist deshalb festzuhalten; für eine Änderung besteht auch in Würdigung der von den Beschwerdeführenden gemachten Äusserungen zu ihrer Behandlung in Rumänien sowie der von ihnen beigebrachten Berichte zur Menschenrechtslage Asylsuchender in Rumänien keine Veranlassung (zur gesundheitlichen Situation hinten E. 7.5).</w:t>
      </w:r>
    </w:p>
    <w:p>
      <w:r>
        <w:rPr>
          <w:b/>
        </w:rPr>
        <w:t>E. 6.4</w:t>
      </w:r>
    </w:p>
    <w:p>
      <w:r>
        <w:t>Im Übrigen liegen nach dem in der vorangehenden Erwägung Dargelegten auch keine Hinweise vor, wonach Rumänien den Beschwerdeführenden eine adäquate medizinische Behandlung - insbesondere die medizinische Nachbetreuung nach der Schwangerschaft der Beschwerdeführerin 2 sowie die Säuglingsversorgung der Beschwerdeführerin 3 - verweigern würde. Rumänien verfügt über eine ausreichende medizinische Versorgung, von denen die Beschwerdeführenden nach Massgabe der Aufnahmerichtlinie Gebrauch machen können. Für die in den Beschwerdeschriften geltend gemachten gesundheitlichen Beschwerden des Beschwerdeführers 1 sowie der Beschwerdeführerin 3 reichten die Beschwerdeführenden im Übrigen keine Belege zu den Akten. Der Beschwerdeführer 1 gab noch in der BzP zudem an, Beinschmerzen und Krämpfe zu haben, erwähnt jedoch keine Rückenbeschwerden (vgl. SEM-act. A9 Ziff. 8.02; vgl. auch E. 7.5).</w:t>
      </w:r>
    </w:p>
    <w:p>
      <w:r>
        <w:rPr>
          <w:b/>
        </w:rPr>
        <w:t>E. 6.5</w:t>
      </w:r>
    </w:p>
    <w:p>
      <w:r>
        <w:t>Unter diesen Umständen ist die Anwendung von Art. 3 Abs. 2 Dublin-III-VO nicht gerechtfertigt.</w:t>
      </w:r>
    </w:p>
    <w:p>
      <w:r>
        <w:rPr>
          <w:b/>
        </w:rPr>
        <w:t>E. 7.1</w:t>
      </w:r>
    </w:p>
    <w:p>
      <w:r>
        <w:t>Die Beschwerdeführenden fordern mit ihrem Vorbringen, das Asylsystem in Rumänien weise systemische Mängel auf und die Situation der Asylsuchenden in Rumänien sei menschenrechtswidrig,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w:t>
      </w:r>
    </w:p>
    <w:p>
      <w:r>
        <w:t>Die Beschwerdeführenden haben kein konkretes und ernsthaftes Risiko dargetan, die rumänischen Behörden würden sich weigern, sie wieder aufzunehmen und ihren Antrag auf internationalen Schutz unter Einhaltung der Regeln der Verfahrensrichtlinie zu prüfen. Den Akten sind denn auch keine Gründe für die Annahme zu entnehmen, Rumänien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Rumänien seien derart schlecht, dass sie zu einer Verletzung von Art. 4 der EU-Grundrechtecharta, Art. 3 EMRK oder Art. 3 FoK führen könnten (vgl. vorn E. 6).</w:t>
      </w:r>
    </w:p>
    <w:p>
      <w:r>
        <w:rPr>
          <w:b/>
        </w:rPr>
        <w:t>E. 7.4</w:t>
      </w:r>
    </w:p>
    <w:p>
      <w:r>
        <w:t>Die Beschwerdeführenden haben auch keine konkreten Hinweise für die Annahme dargetan, Rumänien würde ihnen dauerhaft die ihnen gemäss Aufnahmerichtlinie zustehenden minimalen Lebensbedingungen vorenthalten. Bei einer allfälligen vorübergehenden Einschränkung könnten sie sich im Übrigen nötigenfalls an die rumänischen Behörden wenden und die ihnen zustehenden Aufnahmebedingungen auf dem Rechtsweg einfordern (vgl. Art. 26 Aufnahmerichtlinie).</w:t>
      </w:r>
    </w:p>
    <w:p>
      <w:r>
        <w:rPr>
          <w:b/>
        </w:rPr>
        <w:t>E. 7.5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Zwar bedarf die Beschwerdeführerin 2 rund (...) nach der Niederkunft spezifischer medizinischer Betreuung, ebenso hat die Beschwerdeführerin 3 als neugeborener Säugling spezielle medizinische Bedürfnisse. Die Beschwerdeführenden konnten jedoch nicht glaubhaft darlegen,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Rumänien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substantiierten Hinweise vor, wonach Rumänien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rumänischen Behörden vorgängig in geeigneter Weise über die spezifischen medizinischen Umstände informieren (vgl. Art. 31 f. Dublin-III-VO).</w:t>
      </w:r>
    </w:p>
    <w:p>
      <w:r>
        <w:rPr>
          <w:b/>
        </w:rPr>
        <w:t>E. 7.6</w:t>
      </w:r>
    </w:p>
    <w:p>
      <w:r>
        <w:t>Soweit die Beschwerdeführenden schliesslich sinngemäss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7.7</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7.9</w:t>
      </w:r>
    </w:p>
    <w:p>
      <w:r>
        <w:t>Somit bleibt Rumänien der für die Behandlung der Asylgesuche der Beschwerdeführenden zuständige Mitgliedstaat gemäss Dublin-III-VO. Rumänien ist verpflichtet, das Asylverfahren gemäss Art. 21, 22 und 29 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Rumänien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sind die Beschwerden abzuweisen und die Verfügungen des SEM zu bestätigen.</w:t>
      </w:r>
    </w:p>
    <w:p>
      <w:r>
        <w:rPr>
          <w:b/>
        </w:rPr>
        <w:t>E. 11</w:t>
      </w:r>
    </w:p>
    <w:p>
      <w:r>
        <w:t>Die mit den Beschwerden gestellten Gesuche um Gewährung der unentgeltlichen Prozessführung sind abzuweisen, da die Begehren - wie sich aus den vorstehenden Erwägungen ergibt - als aussichtslos zu bezeichnen sind, weshalb die Voraussetzungen von Art. 65 Abs. 1 VwVG nicht erfüllt sind. Die Verfahrenskosten sind daher gemäss Art. 63 Abs. 1 VwVG den Beschwerdeführenden aufzuerlegen und auf insgesamt Fr. 750.- festzusetzen (Art. 1-3 des Reglements vom 21. Februar 2008 über die Kosten und Entschädigungen vor dem Bundesverwaltungsgericht [VGKE, SR 173.320.2]). Aufgrund der festgestellten Verletzung des rechtlichen Gehörs (siehe vorn E. 3.4) rechtfertigt es sich, die Verfahrenskosten um Fr. 150. - zu reduzieren und auf Fr. 600. - festzusetzen (vgl.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