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F-2053/2021 vom 2. Juni 2021</w:t>
      </w:r>
    </w:p>
    <w:p>
      <w:r>
        <w:t>Bundesverwaltungsgericht, 2021-06-02, FR</w:t>
      </w:r>
    </w:p>
    <w:p>
      <w:r>
        <w:rPr>
          <w:b/>
        </w:rPr>
        <w:t xml:space="preserve">Quelle: </w:t>
      </w:r>
      <w:r>
        <w:t>https://mcp.opencaselaw.ch/entscheid/bvger_F-2053_2021</w:t>
      </w:r>
    </w:p>
    <w:p>
      <w:r>
        <w:t>FR: TAF F-2053/2021 du 2 juin 2021</w:t>
      </w:r>
    </w:p>
    <w:p>
      <w:r>
        <w:t>IT: TAF F-2053/2021 del 2 giugno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w:t>
      </w:r>
    </w:p>
    <w:p>
      <w:r>
        <w:rPr>
          <w:b/>
        </w:rPr>
        <w:t>E. 2.2</w:t>
      </w:r>
    </w:p>
    <w:p>
      <w:r>
        <w:t>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Sur le fond, le Tribunal relève que le recourant alléguant être mineur, la question de son âge doit être résolue à titre liminaire, celle-ci étant importante tant sur le plan procédural que s'agissant de la détermination de l'Etat responsable pour le traitement de sa demande d'asile au regard de l'art. 8 du règlement Dublin III. Sauf cas particulier (ATAF 2011/23), le SEM est en droit de se prononcer à titre préjudiciel sur la qualité de mineur dont se prévaut un requérant, s'il existe des doutes sur les données relatives à son âge (cf. ATAF 2009/54 consid. 4.1).</w:t>
      </w:r>
    </w:p>
    <w:p>
      <w:r>
        <w:rPr>
          <w:b/>
        </w:rPr>
        <w:t>E. 3.2</w:t>
      </w:r>
    </w:p>
    <w:p>
      <w:r>
        <w:t>En l'occurrence, dans son recours (cf. p. 2), l'intéressé a fait implicitement grief au SEM de ne pas avoir établi de manière correcte l'état de fait pertinent en ce qui concerne sa minorité et a reproché à l'autorité inférieure de ne pas l'avoir soumis à une expertise médicale pour déterminer son âge. 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consid. 4.1 ; arrêt du TAF E-803/2015 du 5 août 2015 consid. 3.1 et réf. cit.). En l'espèce, l'intéressé n'a versé au dossier aucun document d'identité (sur cette notion, cf. art.1a let. c. de l'ordonnance 1 du 11 août 1999 sur l'asile [OA 1, RS 142.311]) susceptible de prouver ou, du moins, rendre vraisemblable sa minorité. Ce dernier a par ailleurs lui-même confirmé, dans le cadre de son audition, qu'il n'avait jamais possédé de pièces d'identité (cf. procès-verbal de l'audition du 18 mars 2021, pt 4.02). Au cours de la procédure, l'autorité intimée a instruit la question centrale de la date de naissance de l'intéressé en le questionnant directement à ce propos (cf. procès-verbal de l'audition du 18 mars 2021, pt 1.06), en l'interrogeant sur son âge lors de son voyage d'origine jusqu'en Suisse (cf. ibidem, pt 5.02) et en lui accordant spécifiquement un droit d'être entendu à ce propos (cf. courrier du 26 mars 2021 et observations de l'intéressé du 1er avril 2021). En outre, le SEM a adressé un courriel à la représentation juridique de l'intéressé pour lui accorder un droit d'être entendu concernant les différentes identités sous lesquelles il avait été enregistré par les autorités italiennes compétentes. Le recourant, par l'entremise de son mandataire, a ainsi pu faire part de ses observations (cf. consid. B.b et B.c supra). Ce faisant, le SEM a établi de manière appropriée l'état de fait pertinent en lien avec l'âge du requérant.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Au vu de ce qui précède et indépendamment de la question de la pertinence de la mise en oeuvre d'un examen osseux in casu, le SEM pouvait, sur la base des éléments à sa disposition, renoncer à ordonner une expertise visant à déterminer plus précisément l'âge de l'intéressé, étant encore rappelé ici que la disposition légale relative à cette mesure d'instruction (art. 17 al. 3bis LAsi) est rédigée de manière potestative. Comme relevé à juste titre par l'autorité inférieure dans la décision querellée, les propos de l'intéressé concernant son environnement, son entourage familial et son parcours de vie se sont avérés particulièrement lacunaires, voire évasifs, manquant parfois de cohérence en particulier au sujet de son enfance à Accra. A cela s'ajoutent les circonstances peu crédibles du voyage vers l'Europe tels que décrites par le recourant, lorsqu'il avait 12 ans selon ses allégations, alors qu'il n'était pas accompagné d'un adulte et qu'il n'avait jamais été scolarisé, ni quitté auparavant son pays d'origine. De plus, il ressort des informations reçues par le SEM (cf. consid. B.b supra) que l'intéressé a été enregistré comme personne majeure en Italie sous différentes identités et que malgré les quatre années passées en ce pays, ce dernier n'a jamais sollicité les autorités italiennes compétentes pour faire enregistrer l'identité alléguée auprès des autorités suisses. Les explications fournies par l'intéressé dans ses observations du 22 avril 2021 concernant le fait qu'à son arrivée sur le territoire italien, il était confus et en état de choc en raison des expériences traumatisantes vécues lors de son voyage ne sont guère convaincantes pour justifier l'enregistrement auprès des autorités italiennes de trois identités dissemblables, comprenant des dates de naissance et nationalités distinctes. En outre, l'intéressé n'a pas démontré avoir entrepris des démarches durant son séjour de quatre ans en Italie pour rectifier son identité ou entrepris d'autres démarches pour établir son identité complète (date de naissance comprise). Dès lors, les indications reçues par le SEM le 20 avril 2020 (cf. consid. B.b supra) concernant les diverses identités enregistrées par les autorités italiennes tend à corroborer le fait que le recourant était bien majeur au moment du dépôt de sa demande d'asile introduite en Suisse. Compte tenu de ce qui précède et au vu l'absence de tout document d'identité officiel probant et du manque de crédibilité de l'intéressé, ses déclarations quant à sa minorité ne peuvent être considérées comme vraisemblables. En conclusion, il ne peut être reproché au SEM d'avoir retenu - faute d'éléments probants au dossier - que l'intéressé était majeur et qu'il ne se justifiait pas, compte tenu du caractère non crédible des déclarations du recourant, de procéder à des mesures d'instruction plus poussées (notamment par le biais de méthodes médicales) pour déterminer son âge. L'autorité inférieure pouvait, en l'occurrence, sans tomber dans l'excès de son pouvoir d'appréciation, se satisfaire - par appréciation anticipée des preuves - du résultat de l'audition du recourant, de ses observations du 22 avril 2021 et des autres pièces au dossier, notamment les informations reçues sur l'enregistrement en Italie d'identités diverses (cf. arrêt du Tribunal F-5221/2019 du 16 octobre 2019 consid. 5.4 et réf. cit.). De même, il ne saurait être fait grief au SEM d'avoir procédé à une modification de la date de naissance du recourant, en introduisant dans le système une date fictive plus vraisemblable tenant compte de la majorité de l'intéressé, étant précisé que la date de naissance indiquée par ce dernier a été conservée dans le système sous la forme d'un alias (cf. dossier N [...]), Le recourant n'ayant pas établi ni même rendu vraisemblable sa minorité, il ne peut se prévaloir des mesures adéquates prévues pour assurer la défense des droits des mineurs non accompagnés. Partant, la jurisprudence et les dispositions légales relatives à la protection des mineurs dans une procédure ne sont pas applicables en l'espèce.</w:t>
      </w:r>
    </w:p>
    <w:p>
      <w:r>
        <w:rPr>
          <w:b/>
        </w:rPr>
        <w:t>E. 4</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consid. 6.2 et 8.2.1, et réf. citées). Le règlement Dublin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4.4</w:t>
      </w:r>
    </w:p>
    <w:p>
      <w:r>
        <w:t>En l'espèce, les investigations entreprises par le SEM, à travers la consultation de l'unité centrale du système européen « Eurodac », ont notamment révélé que le recourant avait déposé une demande d'asile en Italie le 21 mars 2017. Fondé sur ce qui précède, le SEM a soumis aux autorités italiennes compétentes, dans les délais fixés aux art. 23 par. 2 et art. 24 par. 2 du règlement Dublin III, une requête aux fins de reprise en charge, sur la base de l'art. 18 par. 1 let. b du règlement Dublin III. Les autorités italiennes n'ayant pas fait connaître leur décision quant à la requête du SEM aux fins d'admission dans le délai prévu, l'Italie est réputée avoir reconnu sa compétence conformément à l'art. 25 al. 2 du règlement Dublin III, ce qui n'est pas contesté.</w:t>
      </w:r>
    </w:p>
    <w:p>
      <w:r>
        <w:rPr>
          <w:b/>
        </w:rPr>
        <w:t>E. 5</w:t>
      </w:r>
    </w:p>
    <w:p>
      <w:r>
        <w:t>A l'appui de son recours, l'intéressé s'est opposé à son transfert en Italie du fait qu'il avait « beaucoup souffert » en ce pays, qu'il n'y avait pas été « bien traité » et qu'il n'y avait ni logement, ni nourriture (cf. recours p. 2).</w:t>
      </w:r>
    </w:p>
    <w:p>
      <w:r>
        <w:rPr>
          <w:b/>
        </w:rPr>
        <w:t>E. 5.1</w:t>
      </w:r>
    </w:p>
    <w:p>
      <w:r>
        <w:t>Le Tribunal rappelle en premier lieu que l'Italie est liée à la Charte UE et partie à la Convention du 28 juillet 1951 relative au statut des réfugiés (Conv. réfugiés, RS 0.142.30), ainsi qu'au Protocole additionnel du 31 janvier 1967 (PA/CR, RS 0.142.301), à la CEDH et à la Convention du 10 décembre 1984 contre la torture et autres peines ou traitements cruels, inhumains ou dégradants (Conv. torture, RS 0.105), et, à ce titre, est tenue d'en appliquer les dispositions.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ATAF 2011/35 consid. 4.11 ; 2010/45 consid. 7.4.2 ; arrêt de référence du TAF E-962/2019 du 17 décembre 2019 consid. 5.3).</w:t>
      </w:r>
    </w:p>
    <w:p>
      <w:r>
        <w:rPr>
          <w:b/>
        </w:rPr>
        <w:t>E. 5.2</w:t>
      </w:r>
    </w:p>
    <w:p>
      <w:r>
        <w:t>A l'issue d'un examen approfondi, le Tribunal a jugé qu'il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de référence du TAF D-2846/2020 du 16 juillet 2020 consid. 6.1.2 ; E-962/2019 précité consid. 6.2 à 6.5 ; cf., aussi, arrêt du TAF F-6749/2019 du 31 décembre 2019). 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du TAF E-962/2019 précité consid. 6.4).</w:t>
      </w:r>
    </w:p>
    <w:p>
      <w:r>
        <w:rPr>
          <w:b/>
        </w:rPr>
        <w:t>E. 5.3</w:t>
      </w:r>
    </w:p>
    <w:p>
      <w:r>
        <w:t>Dans ces conditions, l'application de l'art. 3 par. 2 du règlement Dublin III ne se justifie pas en l'espèce.</w:t>
      </w:r>
    </w:p>
    <w:p>
      <w:r>
        <w:rPr>
          <w:b/>
        </w:rPr>
        <w:t>E. 6</w:t>
      </w:r>
    </w:p>
    <w:p>
      <w:r>
        <w:t>Dans son recours, l'intéressé a aussi insisté sur son état de santé, considérant implicitement qu'au regard de ses troubles psychiques, son transfert vers l'Italie serait contraire à l'art. 17 par. 1 du règlement Dublin III en relation avec l'art. 3 CEDH.</w:t>
      </w:r>
    </w:p>
    <w:p>
      <w:r>
        <w:rPr>
          <w:b/>
        </w:rPr>
        <w:t>E. 6.1</w:t>
      </w:r>
    </w:p>
    <w:p>
      <w:r>
        <w:t>Selon la jurisprudence de la Cour EDH (cf. arrêt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w:t>
      </w:r>
    </w:p>
    <w:p>
      <w:r>
        <w:rPr>
          <w:b/>
        </w:rPr>
        <w:t>E. 6.2</w:t>
      </w:r>
    </w:p>
    <w:p>
      <w:r>
        <w:t>En ce qui concerne l'Italie, le Tribunal a confirmé, dans son arrêt de référence D-2846/2020 précité, consid. 6.2.1, toujours d'actualité (cf. en particulier arrêt du Tribunal D-6060/2020 du 14 décembre 2020 consid. 4.4.4), que les autorités suisses devaient, avant de procéder au transfert d'un requérant d'asile vulnérable, soit d'une personne souffrant de problèmes médicaux somatiques ou psychiques graves, requérir des garanties écrites individuelles et préalables des autorités italiennes, en particulier en ce qui concerne l'accès immédiat (dès l'arrivée des personnes concernées en Italie) à une prise en charge médicale et à un hébergement adapté et qu'en l'absence de telles garanties, le transfert des personnes susmentionnées devait être considéré comme illicite.</w:t>
      </w:r>
    </w:p>
    <w:p>
      <w:r>
        <w:rPr>
          <w:b/>
        </w:rPr>
        <w:t>E. 6.3</w:t>
      </w:r>
    </w:p>
    <w:p>
      <w:r>
        <w:t>En l'espèce, il ressort toutefois du dossier et des pièces médicales fournies lors de la procédure de recours, que l'intéressé ne fait pas partie de cette catégorie de personnes. S'il a certes été soigné pour ses douleurs abdominales (cf. rapports médicaux rédigés les 16, 27 avril et 18 mai 2021 par les médecins du CMC), il ressort des documents produits que ces affections sont en amélioration depuis l'introduction d'un traitement pour éradication H. pylori. Il ressort aussi de ces pièces que des investigations sont en cours pour détecter une anémie hémolytique. Quant aux troubles psychiques (insomnie, rumination, cauchemars) détectés chez l'intéressé après entretien avec un infirmier spécialisé en psychiatrie, il n'a pas été estimé nécessaire d'adresser l'intéressé à un spécialiste, ni d'envisager un traitement impliquant plusieurs rendez-vous chez un spécialiste compétent (cf. lettre d'introduction Medic-Help [anciennement F 2] du 26 mars 2021). Par contre, il a été diagnostiqué un état dépressif sévère chez le recourant nécessitant un traitement médicamenteux (Quetapine XR 100mg le soir), ce qui a permis de stabiliser son humeur (cf. rapport médical du 18 mai 2021 établi par les médecins généraux du CMC). Dans le cadre du recours, l'intéressé n'a toutefois pas établi qu'il ne serait pas en mesure de voyager ou que son transfert vers l'Italie représenterait un danger concret pour sa santé (cf. aussi, dans ce sens, arrêt du Tribunal F-3595/2019 du 18 juillet 2019, sur le concept médical mis en place au CFA de Boudry et l'obligation de coopération accrue à charge du recourant et de son représentant). Dès lors, il n'y a pas lieu d'entreprendre des investigations plus poussées étant rappelé qu'en application de l'art. 8 LAsi et 13 PA, c'est à l'intéressé de démontrer les faits qu'il allègue (cf. arrêt du Tribunal D-3805/2017 du 18 juillet 2017).</w:t>
      </w:r>
    </w:p>
    <w:p>
      <w:r>
        <w:rPr>
          <w:b/>
        </w:rPr>
        <w:t>E. 6.4</w:t>
      </w:r>
    </w:p>
    <w:p>
      <w:r>
        <w:t>Dans ces conditions, le dossier ne contient pas d'éléments d'ordre médical qui feraient apparaître les problèmes de santé soulevés dans le mémoire de recours comme atteignant une gravité telle qu'elle ferait obstacle à l'exécution du transfert vers l'Italie. Il est encore à noter que ce pays dispose du reste de structures médicales similaires à celles existant en Suisse (cf. notamment arrêt du Tribunal D-5522/2018 du 5 octobre 2018). 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 voir notamment arrêt du TAF E-5380/2016 du 17 septembre 2018 consid. 6.6.3).</w:t>
      </w:r>
    </w:p>
    <w:p>
      <w:r>
        <w:rPr>
          <w:b/>
        </w:rPr>
        <w:t>E. 6.5</w:t>
      </w:r>
    </w:p>
    <w:p>
      <w:r>
        <w:t>Au demeurant, si après son transfert en Italie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italiennes en usant des voies de droit adéquates (cf. art. 26 de la directive Accueil).</w:t>
      </w:r>
    </w:p>
    <w:p>
      <w:r>
        <w:rPr>
          <w:b/>
        </w:rPr>
        <w:t>E. 6.6</w:t>
      </w:r>
    </w:p>
    <w:p>
      <w:r>
        <w:t>L'intéressé ne peut donc se prévaloir d'éléments d'ordre médical de nature à constituer un éventuel obstacle à son transfert vers l'Italie au regard de l'art. 3 CEDH, et à justifier ainsi l'application de la clause discrétionnaire prévue par l'art. 17 par. 1 du règlement Dublin III (clause de souveraineté).</w:t>
      </w:r>
    </w:p>
    <w:p>
      <w:r>
        <w:rPr>
          <w:b/>
        </w:rPr>
        <w:t>E. 6.7</w:t>
      </w:r>
    </w:p>
    <w:p>
      <w:r>
        <w:t>Par ailleurs, il ne peut être reproché à l'autorité inférieure de ne pas avoir fait application de la clause de souveraineté de l'art. 17 par. 1 du règlement Dublin III et de l'art. 29a al. 3 OA1. 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Il convient encore de rappeler que le règlement Dublin III ne confère pas aux demandeurs d'asile le droit de choisir l'Etat membre offrant, à leur avis, les meilleures conditions d'accueil comme Etat responsable de l'examen de leur demande d'asile (cf. notamment ATAF 2017 VI/5 consid. 8.2.1).</w:t>
      </w:r>
    </w:p>
    <w:p>
      <w:r>
        <w:rPr>
          <w:b/>
        </w:rPr>
        <w:t>E. 7.1</w:t>
      </w:r>
    </w:p>
    <w:p>
      <w:r>
        <w:t>En conclusion, c'est à bon droit que le SEM a considéré que l'Italie était l'Etat membre responsable de l'examen de la demande de protection internationale introduite par le recourant en Suisse, qu'il n'y avait pas lieu de faire application de la clause de souveraineté ancrée par l'art. 17 par. 1 du règlement Dublin III pour des raisons humanitaires et que le transfert vers ce pays était conforme aux obligations internationales de la Suisse. Partant, c'est à juste titre que le SEM n'est pas entré en matière sur la demande d'asile du recourant, en application de l'art. 31a al. 1 let. b LAsi et qu'il a prononcé son renvoi (recte : transfert) conformément à l'art. 44 1ère phr. LAsi, étant précisé qu'aucune exception à la règle générale du renvoi n'est réalisée (cf. art. 32 OA 1).</w:t>
      </w:r>
    </w:p>
    <w:p>
      <w:r>
        <w:rPr>
          <w:b/>
        </w:rPr>
        <w:t>E. 7.2</w:t>
      </w:r>
    </w:p>
    <w:p>
      <w:r>
        <w:t>Le recours est par conséquent rejeté et la décision attaquée confirmée.</w:t>
      </w:r>
    </w:p>
    <w:p>
      <w:r>
        <w:rPr>
          <w:b/>
        </w:rPr>
        <w:t>E. 7.3</w:t>
      </w:r>
    </w:p>
    <w:p>
      <w:r>
        <w:t>S'avérant manifestement infondé, le recours est rejeté dans une procédure à juge unique, avec l'approbation d'un second juge (cf. art. 111 let. e LAsi) et il est renoncé à un échange d'écritures (cf. art. 111a al.1 LAsi).</w:t>
      </w:r>
    </w:p>
    <w:p>
      <w:r>
        <w:rPr>
          <w:b/>
        </w:rPr>
        <w:t>E. 7.4</w:t>
      </w:r>
    </w:p>
    <w:p>
      <w:r>
        <w:t>Dans la mesure où il a été statué sur le fond, les requêtes formulées dans le recours tendant à l'octroi de l'effet suspensif et à la dispense du paiement d'une avance de frais (cf. art. 63 al. 4 PA) sont devenues sans objet.</w:t>
      </w:r>
    </w:p>
    <w:p>
      <w:r>
        <w:rPr>
          <w:b/>
        </w:rPr>
        <w:t>E. 7.5</w:t>
      </w:r>
    </w:p>
    <w:p>
      <w:r>
        <w:t>La demande d'assistance judiciaire totale est rejetée, indépendamment de la preuve de l'indigence du recourant, compte tenu du caractère d'emblée voué à l'échec des conclusions du recours (cf. art. 102m al. 1 LAsi et art. 65 al. 1 PA).</w:t>
      </w:r>
    </w:p>
    <w:p>
      <w:r>
        <w:rPr>
          <w:b/>
        </w:rPr>
        <w:t>E. 7.6</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