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F-2051/2025 vom 18. März 2025</w:t>
      </w:r>
    </w:p>
    <w:p>
      <w:r>
        <w:t>Bundesverwaltungsgericht, 2025-03-18, DE</w:t>
      </w:r>
    </w:p>
    <w:p>
      <w:r>
        <w:rPr>
          <w:b/>
        </w:rPr>
        <w:t xml:space="preserve">Quelle: </w:t>
      </w:r>
      <w:r>
        <w:t>https://mcp.opencaselaw.ch/entscheid/bvger_F-2051_2025_d20250318</w:t>
      </w:r>
    </w:p>
    <w:p>
      <w:r>
        <w:t>FR: TAF F-2051/2025 du 18 mars 2025</w:t>
      </w:r>
    </w:p>
    <w:p>
      <w:r>
        <w:t>IT: TAF F-2051/2025 del 18 marzo 2025</w:t>
      </w:r>
    </w:p>
    <w:p>
      <w:pPr>
        <w:pStyle w:val="Heading2"/>
      </w:pPr>
      <w:r>
        <w:t>Regeste</w:t>
      </w:r>
    </w:p>
    <w:p>
      <w:r>
        <w:t>Zuweisung der Asylsuchenden an die Kantone | Zuweisung der Asylsuchenden an die Kantone; Verfügung des SEM vom 18. März 2025</w:t>
      </w:r>
    </w:p>
    <w:p>
      <w:pPr>
        <w:pStyle w:val="Heading2"/>
      </w:pPr>
      <w:r>
        <w:t>Erwägungen</w:t>
      </w:r>
    </w:p>
    <w:p>
      <w:r>
        <w:rPr>
          <w:b/>
        </w:rPr>
        <w:t>E. 1.1</w:t>
      </w:r>
    </w:p>
    <w:p>
      <w:r>
        <w:t>Das Bundesverwaltungsgericht beurteilt auf Beschwerde hin selbstän- dig anfechtbare Zwischenverfügungen des SEM betreffend Kantonszuwei- sung (Art. 27 Abs. 3 i.V.m. Art. 107 Abs. 1 AsylG [SR 142.31]; Art. 105 AsylG i.V.m. Art. 31 ff. VGG; Art. 46 VwVG).</w:t>
      </w:r>
    </w:p>
    <w:p>
      <w:r>
        <w:rPr>
          <w:b/>
        </w:rPr>
        <w:t>E. 1.2</w:t>
      </w:r>
    </w:p>
    <w:p>
      <w:r>
        <w:t>Das Verfahren richtet sich nach dem VwVG, dem VGG und dem BGG, soweit das AsylG nichts anderes bestimmt (Art. 37 VGG und Art. 6 AsylG).</w:t>
      </w:r>
    </w:p>
    <w:p>
      <w:r>
        <w:rPr>
          <w:b/>
        </w:rPr>
        <w:t>E. 1.3</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Formelle Rügen sind in- soweit zulässig, als sie im Zusammenhang mit dem erwähnten Grundsatz stehen (BVGE 2008/47 E. 1.2 und E. 1.3.2).</w:t>
      </w:r>
    </w:p>
    <w:p>
      <w:r>
        <w:rPr>
          <w:b/>
        </w:rPr>
        <w:t>E. 1.4</w:t>
      </w:r>
    </w:p>
    <w:p>
      <w:r>
        <w:t>Der Beschwerdeführer ist zur Beschwerde legitimiert (Art. 48 Abs. 1 VwVG). Auf die frist- und formgerechte Beschwerde ist einzutreten (Art. 108 Abs. 2 AsylG und Art. 52 Abs. 1 VwVG).</w:t>
      </w:r>
    </w:p>
    <w:p>
      <w:r>
        <w:rPr>
          <w:b/>
        </w:rPr>
        <w:t>E. 1.5</w:t>
      </w:r>
    </w:p>
    <w:p>
      <w:r>
        <w:t>Das Bundesverwaltungsgericht entscheidet in der vorliegenden Rechtsmaterie endgültig (vgl. Art. 83 Bst. d Ziff. 1 BGG).</w:t>
      </w:r>
    </w:p>
    <w:p>
      <w:r>
        <w:rPr>
          <w:b/>
        </w:rPr>
        <w:t>E. 2.1</w:t>
      </w:r>
    </w:p>
    <w:p>
      <w:r>
        <w:t>Der Beschwerdeführer rügt eine Verletzung der Begründungspflicht und damit seinen Anspruch auf rechtliches Gehör. Die Vorinstanz habe in ihrer Formularverfügung nicht berücksichtigt, dass er bereits in der Anhö- rung angegeben habe, eine enge Beziehung zu seinem (Nennung Ver- wandter) und dessen Familie zu haben.</w:t>
      </w:r>
    </w:p>
    <w:p>
      <w:r>
        <w:rPr>
          <w:b/>
        </w:rPr>
        <w:t>E. 2.2</w:t>
      </w:r>
    </w:p>
    <w:p>
      <w:r>
        <w:t>Aus dem Anspruch auf rechtliches Gehör (Art. 29 Abs. 2 BV) folgt unter anderem die grundsätzliche Pflicht der Behörden, ihren Entscheid zu be- gründen. Die Begründung muss so abgefasst sein, dass die betroffene</w:t>
      </w:r>
    </w:p>
    <w:p>
      <w:r>
        <w:t>F-2051/2025 Seite 4 Person den Entscheid gegebenenfalls sachgerecht anfechten kann. Die Begründung muss kurz die wesentlichen Überlegungen nennen, von de- 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w:t>
      </w:r>
    </w:p>
    <w:p>
      <w:r>
        <w:rPr>
          <w:b/>
        </w:rPr>
        <w:t>E. 2.3</w:t>
      </w:r>
    </w:p>
    <w:p>
      <w:r>
        <w:t>Der Beschwerdeführer gab in der Erstbefragung UMA an, dass sich sein (Nennung Verwandter) in der Schweiz aufhält (SEM-Akten act.13 F 3.02). Anlässlich der Anhörung führte er aus, seinen (Nennung Verwand- ter) seit seiner Ankunft getroffen zu haben und ihm nahe zu stehen. Sein (Nennung Verwandter) liebe ihn und er sage Vater zu ihm (SEM-Akten act. 25 F30 ff.). Indem die Vorinstanz gleichwohl mittels einer mit Standardbe- gründung versehenen Formularverfügung befand, der Beschwerdeführer werde dem Kanton B._______ zugewiesen, hat sie ihre Begründungs- pflicht verletzt. Dabei ist unbeachtlich, dass er kein Gesuch um Privatun- terbringung bei der Familie seines (Nennung Verwandter) gestellt hat.</w:t>
      </w:r>
    </w:p>
    <w:p>
      <w:r>
        <w:rPr>
          <w:b/>
        </w:rPr>
        <w:t>E. 2.4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2.5</w:t>
      </w:r>
    </w:p>
    <w:p>
      <w:r>
        <w:t>Im Rahmen ihrer Vernehmlassung vom 25. April 2025 hat die Vor- instanz die Begründung der angefochtenen Verfügung ergänzt. Sie führte</w:t>
      </w:r>
    </w:p>
    <w:p>
      <w:r>
        <w:t>F-2051/2025 Seite 5 aus, es liege kein Abhängigkeitsverhältnis zwischen dem Beschwerdefüh- rer und seinem (Nennung Verwandter) bzw. dessen Familie vor. Ein sol- ches lasse sich auch nicht aus dem jugendlichen Alter des Beschwerde- führers ableiten. Im Hinblick auf sein Alter und seinen Entwicklungsstand würden genügend Garantien bestehen, dass er nicht zwingend auf ein Zu- sammenleben mit seinen Verwandten in der Schweiz angewiesen sei. Da- bei falle ins Gewicht, dass er den langen Reiseweg von Syrien bis in die Schweiz selbständig zu bewältigen vermochte. Aus den Akten würden sich keine weiteren Hinweise auf ein begründetes Abhängigkeitsverhältnis er- geben, wonach sich, dem Kindeswohl Rechnung tragend, die Zuweisung in den Kanton C._______ rechtfertigen würde. Die Verwandten würden seit nunmehr (Nennung Dauer) in der Schweiz leben. Aus dem Umstand, dass sich die Beziehung mittlerweile intensiviert habe, könne er nichts zu seinen Gunsten ableiten.</w:t>
      </w:r>
    </w:p>
    <w:p>
      <w:r>
        <w:rPr>
          <w:b/>
        </w:rPr>
        <w:t>E. 2.6</w:t>
      </w:r>
    </w:p>
    <w:p>
      <w:r>
        <w:t>Angesichts dieser Ergänzung der Begründung und der dem Beschwer- deführer dazu gewährten Gelegenheit zur Stellungnahme, wovon er keinen Gebrauch machte, ist der festgestellte Verfahrensmangel als geheilt zu be- trachten (vgl. BVGE 2008/47 E. 3).</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 1). Andere familiäre Verhältnisse fallen in den Schutzbereich von Art. 8 Ziff. 1 EMRK, sofern eine genügend nahe, echte und tatsächlich ge- lebte Beziehung besteht. Hinweise für solche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wie</w:t>
      </w:r>
    </w:p>
    <w:p>
      <w:r>
        <w:t>F-2051/2025 Seite 6 Geschwistern oder Onkeln und Neffen wesentlich, doch muss in diesem Fall ein über die üblichen familiären Beziehungen beziehungsweise emoti- onalen Bindungen hinausgehendes, besonderes Abhängigkeitsverhältnis bestehen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4</w:t>
      </w:r>
    </w:p>
    <w:p>
      <w:r>
        <w:t>Der Beschwerdeführer rügt eine Verletzung des Grundsatzes der Einheit der Familie und beantragt eine Zuweisung in den Kanton C._______. Er macht geltend, im Kanton C._______ würden sein (Nennung Verwandter), seine (Nennung Verwandte) (Ehefrau des [Nennung Verwandter]) sowie seine drei (Nennung Verwandte) (Kinder des [Nennung Verwandter]) le- ben. Als er nach seiner Ausreise Kenntnis vom Wohnort des (Nennung Ver- wandter) gehabt habe, habe er ihn kontaktiert. Der Kontakt habe seither an Intensität zugenommen und sich verfestigt. Der (Nennung Verwandter) und dessen Familie seien seine einzigen Verwandten in der Schweiz, weshalb sie eine spezielle familiäre Verbindung hätten. Eine sichere Bindung zu Menschen schenke einer Person physische und psychische Sicherheit. Der Umstand, dass der Kontakt erst seit relativ kurzer Dauer bestehe, könne ihm angesichts seines Alters nicht angelastet werden. Im Fall von minderjährigen Personen sei bei einer Kantonszuweisung zudem die Wah- rung des Kindeswohls gesondert zu prüfen. Er habe bereits in seiner Hei- mat eine sehr enge Beziehung zu der Familie seines (Nennung Verwand- ter) gehabt und die beiden Familien hätten vor der Ausreise des (Nennung Verwandter) zeitweise unter einem Dach gelebt. Er besuche die Familie</w:t>
      </w:r>
    </w:p>
    <w:p>
      <w:r>
        <w:t>F-2051/2025 Seite 7 des (Nennung Verwandter) samstags und die Bindung zu seinen Verwand- ten sei von wesentlicher Bedeutung, um einer Retraumatisierung vorzu- beugen. Zudem könne ihm die Familie bei der Integration behilflich sein und ihn unterstützen.</w:t>
      </w:r>
    </w:p>
    <w:p>
      <w:r>
        <w:rPr>
          <w:b/>
        </w:rPr>
        <w:t>E. 5</w:t>
      </w:r>
    </w:p>
    <w:p>
      <w:r>
        <w:t>Die Beziehung des Beschwerdeführers zu seinem (Nennung Verwandter) und dessen Familie fällt nicht unter den Begriff der Kernfamilie. Für das Vorliegen eines Abhängigkeitsverhältnisses im Sinne der Rechtsprechung (vgl. E. 3.3) genügt eine lediglich moralische, administrative, ausbildungs- oder sprachbezogene Unterstützung durch seine im Kanton C._______ le- benden Verwandten nicht. Vorliegend ist weder aus den Akten ersichtlich noch legt er substanziiert dar, welche Aufgaben und Tätigkeiten er im Alltag nicht selbständig bestreiten könne. Er steht denn auch kurz vor Erreichen der Volljährigkeit. Bei einer Gesamtbetrachtung der vorliegenden Um- stände ist auch in Berücksichtigung des übergeordneten Kindesinteresses des (...)-jährigen Beschwerdeführers nicht davon auszugehen, dass er für die Betreuung und Erziehung, derer er noch bedarf, darauf angewiesen wäre, bei seinem (Nennung Verwandter) oder in dessen unmittelbarer Nähe zu leben. Gemäss dem (Nennung Beweismittel) habe der geplante Transfer in den Kanton B._______ den Beschwerdeführer sehr belastet und er habe Suizidgedanken ohne konkrete Pläne im Zusammenhang mit dem Transfer geäussert (Beilage zu act. 6). Dem (Nennung Beweismittel) lässt sich entnehmen, dass der Wechsel nach G._______ das labile Gleichgewicht des Beschwerdeführers sehr erschüttert habe, was sich in (Nennung Leiden) gezeigt habe. Mit dem Wechsel nach H._______ habe sich die Situation etwas beruhigt. Aus medizinischen Gründen sei eine Rückkehr nach I._______ notwendig (act. 8 Beilage 2). Auch der Berufs- beistand / Vertrauensperson geht in seinem Wahrnehmungsbericht vom 24. April 2025 davon aus, dass eine Zusammenführung mit seinen im Kan- ton C._______ wohnhaften Verwandten notwendig sei (act. 8 Beilage 1). Aus den beschriebenen gesundheitlichen Beschwerden ergeben sich je- doch keine besonderen Betreuungs- oder Pflegebedürfnisse im Sinne der zitierten Rechtsprechung (vgl. E. 3.3). Für medizinische Belange stehen dem Beschwerdeführer im Kanton B._______ weiterhin entsprechende In- stitutionen der medizinischen Versorgung zur Verfügung. Im Übrigen steht es ihm offen, die Wochenenden bei seinem (Nennung Verwandter) und dessen Familie zu verbringen. Ein Abhängigkeitsverhältnis ist somit zu ver- neinen.</w:t>
      </w:r>
    </w:p>
    <w:p>
      <w:r>
        <w:t>F-2051/2025 Seite 8</w:t>
      </w:r>
    </w:p>
    <w:p>
      <w:r>
        <w:rPr>
          <w:b/>
        </w:rPr>
        <w:t>E. 6</w:t>
      </w:r>
    </w:p>
    <w:p>
      <w:r>
        <w:t>Nach dem Gesagten verletzt die Zuweisung des Beschwerdeführers an den Kanton B._______ den Grundsatz der Einheit der Familie gemäss Art.27 Abs. 3 letzter Satz AsylG nicht. Die Beschwerde ist abzuweisen.</w:t>
      </w:r>
    </w:p>
    <w:p>
      <w:r>
        <w:rPr>
          <w:b/>
        </w:rPr>
        <w:t>E. 7</w:t>
      </w:r>
    </w:p>
    <w:p>
      <w:r>
        <w:t>Bei diesem Ausgang des Verfahrens wären die Kosten dem Beschwerde- führer aufzuerlegen (Art. 63 Abs. 1 VwVG). Zufolge der mit Zwischenver- fügung vom 2. April 2025 gewährten unentgeltlichen Prozessführung in Sinne von Art. 65 Abs. 1 VWVG ist auf deren Erhebung jedoch zu verzich- ten. (Dispositiv nächste Seite)</w:t>
      </w:r>
    </w:p>
    <w:p>
      <w:r>
        <w:t>F-2051/2025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