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F-2049/2024 vom 19. April 2024</w:t>
      </w:r>
    </w:p>
    <w:p>
      <w:r>
        <w:t>Bundesverwaltungsgericht, 2024-04-19, FR</w:t>
      </w:r>
    </w:p>
    <w:p>
      <w:r>
        <w:rPr>
          <w:b/>
        </w:rPr>
        <w:t xml:space="preserve">Quelle: </w:t>
      </w:r>
      <w:r>
        <w:t>https://mcp.opencaselaw.ch/entscheid/bvger_F-2049_2024</w:t>
      </w:r>
    </w:p>
    <w:p>
      <w:r>
        <w:t>FR: TAF F-2049/2024 du 19 avril 2024</w:t>
      </w:r>
    </w:p>
    <w:p>
      <w:r>
        <w:t>IT: TAF F-2049/2024 del 19 aprile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L'intéressée a qualité pour recourir ; le recours, qui a été interjeté dans la forme et le délai prescrits, est recevable (art. 48 al. 1 et 52 al. 1 PA [RS 172.021], applicables par renvoi de l'art. 37 LTAF, et art. 108 al. 3 LAsi).</w:t>
      </w:r>
    </w:p>
    <w:p>
      <w:r>
        <w:rPr>
          <w:b/>
        </w:rPr>
        <w:t>E. 1.3</w:t>
      </w:r>
    </w:p>
    <w:p>
      <w:r>
        <w:t>Saisi d'un recours contre une décision de non-entrée en matière sur une demande d'asile, le Tribunal se limite à examiner le bien-fondé d'une telle décision (cf. ATAF 2017 VI/5 consid. 3.1).</w:t>
      </w:r>
    </w:p>
    <w:p>
      <w:r>
        <w:rPr>
          <w:b/>
        </w:rPr>
        <w:t>E. 1.4</w:t>
      </w:r>
    </w:p>
    <w:p>
      <w:r>
        <w:t>Conformément à l'art. 33a al. 2 PA, applicable par renvoi des art. 105 LAsi et 37 LTAF, dans la procédure de recours, la langue est celle de la décision attaquée. Si les parties utilisent une autre langue officielle, celle-ci peut être adoptée. En l'espèce, le recours a été rédigé en français tandis que la décision attaquée est en allemand. Cela étant, la recourante agissant seule dans le cadre de la présente procédure, il convient d'adopter la langue française dans le cadre de la présente procédure.</w:t>
      </w:r>
    </w:p>
    <w:p>
      <w:r>
        <w:rPr>
          <w:b/>
        </w:rPr>
        <w:t>E. 2.1</w:t>
      </w:r>
    </w:p>
    <w:p>
      <w:r>
        <w:t>En l'espèce,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règlement Dublin III).</w:t>
      </w:r>
    </w:p>
    <w:p>
      <w:r>
        <w:rPr>
          <w:b/>
        </w:rPr>
        <w:t>E. 2.3</w:t>
      </w:r>
    </w:p>
    <w:p>
      <w:r>
        <w:t>Dans une procédure de prise en charge (« take charge »), comme en l'espèce,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 Selon l'art. 12 par. 4 RD III, si le demandeur est titulaire d'un visa périmé depuis moins de six mois lui ayant effectivement permis d'entrer sur le territoire d'un État membre, l'Etat membre ayant délivré le visa est responsable pour l'examen de la demande de protection internationale, aussi longtemps que le demandeur n'a pas quitté le territoire des États membres.</w:t>
      </w:r>
    </w:p>
    <w:p>
      <w:r>
        <w:rPr>
          <w:b/>
        </w:rPr>
        <w:t>E. 2.4</w:t>
      </w:r>
    </w:p>
    <w:p>
      <w:r>
        <w:t>En l'occurrence, au vu du visa délivré par les autorités espagnoles, le SEM a soumis à ces dernières, dans le délai de l'art. 21 par. 1 du règlement Dublin III, une demande de prise en charge de la recourante (cf. let. A et B supra). N'ayant pas répondu à cette demande dans le délai prévu par l'art. 22 par. 1 du règlement Dublin III, l'Espagne est réputée l'avoir acceptée et partant, avoir reconnu sa compétence pour traiter la demande d'asile de l'intéressée (art. 22 par. 7 RD III).</w:t>
      </w:r>
    </w:p>
    <w:p>
      <w:r>
        <w:rPr>
          <w:b/>
        </w:rPr>
        <w:t>E. 3.1</w:t>
      </w:r>
    </w:p>
    <w:p>
      <w:r>
        <w:t>Il n'y a en outre aucune raison sérieuse de penser qu'il existe, en Espagne, des défaillances systémiques dans la procédure d'asile et dans les conditions d'accueil des demandeurs d'asile, qui entraînent un risque de traitement inhumain ou dégradant au sens de l'art. 4 de la Charte des droits fondamentaux de l'Union européenne (JO C 364/1 du 18.12.2000 ; art. 3 par. 2 al. 2 du règlement Dublin III).</w:t>
      </w:r>
    </w:p>
    <w:p>
      <w:r>
        <w:rPr>
          <w:b/>
        </w:rPr>
        <w:t>E. 3.2</w:t>
      </w:r>
    </w:p>
    <w:p>
      <w:r>
        <w:t>En effet, ce pays est lié par cette charte et, de surcroît, partie à la Convention du 28 juillet 1951 relative au statut de réfugiés (Conv. Réfugiés ; RS 0.142.30) ainsi qu'au Protocole additionnel du 31 janvier 1967 (RS 0.142.301), à la Convention du 4 novembre 1950 de sauvegarde des droits de l'homme et des libertés fondamentales (CEDH ; RS 0.101) et à la Convention du 10 décembre 1984 contre la torture et autres peines ou traitements cruels, inhumains ou dégradants (Conv. torture ; RS 0.105) et, à ce titre, en applique les dispositions.</w:t>
      </w:r>
    </w:p>
    <w:p>
      <w:r>
        <w:rPr>
          <w:b/>
        </w:rPr>
        <w:t>E. 3.3</w:t>
      </w:r>
    </w:p>
    <w:p>
      <w:r>
        <w:t>Partant, l'Espagne est présumée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 directive n° 2013/33/UE du Parlement européen et du Conseil du 26 juin 2013 établissant des normes pour l'accueil des personnes demandant la protection internationale [ci-après : directive Accueil]).</w:t>
      </w:r>
    </w:p>
    <w:p>
      <w:r>
        <w:rPr>
          <w:b/>
        </w:rPr>
        <w:t>E. 3.4</w:t>
      </w:r>
    </w:p>
    <w:p>
      <w:r>
        <w:t>Par voie de conséquence, l'application de l'art. 3 par. 2 al. 2 du règlement Dublin III ne saurait trouver application en l'espèce, d'autant moins que la recourante ne s'en prévaut pas.</w:t>
      </w:r>
    </w:p>
    <w:p>
      <w:r>
        <w:rPr>
          <w:b/>
        </w:rPr>
        <w:t>E. 4</w:t>
      </w:r>
    </w:p>
    <w:p>
      <w:r>
        <w:t>Pour s'opposer à son transfert, l'intéressée sollicite implicitement l'application de la clause discrétionnaire prévue à l'art. 17 par. 1 du règlement Dublin III (clause de souveraineté). A cet égard, elle fait valoir les violences qu'elle pourrait subir de la part de son mari en Espagne, ainsi que sa crainte d'être extradée vers son pays d'origine et y être emprisonnée pour avoir déserté son poste à l'armée.</w:t>
      </w:r>
    </w:p>
    <w:p>
      <w:r>
        <w:rPr>
          <w:b/>
        </w:rPr>
        <w:t>E. 4.1</w:t>
      </w:r>
    </w:p>
    <w:p>
      <w:r>
        <w:t>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4.2</w:t>
      </w:r>
    </w:p>
    <w:p>
      <w:r>
        <w:t>En l'occurrence, n'ayant pas formellement sollicité l'asile en Espagne, il incombera en premier lieu à la recourante, à son arrivée dans ce pays, de déposer, dans les meilleurs délais, une demande auprès des autorités espagnoles compétentes et de se conformer à leurs instructions. Une telle démarche, qui est indispensable afin de pouvoir se prévaloir de droits et garanties fixés au plan tant international que national, lui permettra en particulier de bénéficier des prestations prévues par la directive Accueil et aussi de voir sa demande examinée dans le respect de la directive Procédure.</w:t>
      </w:r>
    </w:p>
    <w:p>
      <w:r>
        <w:rPr>
          <w:b/>
        </w:rPr>
        <w:t>E. 4.3</w:t>
      </w:r>
    </w:p>
    <w:p>
      <w:r>
        <w:t>Par ailleurs, le Tribunal relève que l'intéressée n'a fourni aucun élément concret susceptible d'établir que les autorités espagnoles refuseraient de la prendre en charge et d'examiner sa demande de protection internationale une fois déposée, ni qu'elles ne respecteraient pas le principe de non-refoulement, et donc failliraient à leurs obligations internationales en la renvoyant dans un pays où sa vie, son intégrité corporelle ou sa liberté serait sérieusement menacée, ou encore d'où elle risquerait d'être astreinte à se rendre dans un tel pays.</w:t>
      </w:r>
    </w:p>
    <w:p>
      <w:r>
        <w:rPr>
          <w:b/>
        </w:rPr>
        <w:t>E. 4.4</w:t>
      </w:r>
    </w:p>
    <w:p>
      <w:r>
        <w:t>En outre, la recourante n'a pas démontré que les conditions d'accueil en Espagne après le dépôt de sa demande de protection internationale revêtiraient un degré de pénibilité et de gravité tel au point de constituer un traitement contraire à l'art. 3 CEDH, respectivement à l'art. 3 Conv. torture. De la même façon, elle n'a pas apporté d'indices objectifs, concrets et sérieux qu'elle serait durablement privée de tout accès à des conditions matérielles minimales d'accueil prévues par la directive Accueil et qu'elle ne pourrait pas bénéficier de l'aide dont elle pourrait avoir besoin pour faire valoir ses droits. A cet égard, le Tribunal relève, s'agissant des violences qu'elle pourrait subir de la part de son époux en Espagne, que ce pays est un Etat de droit et que rien ne laisse à penser que les autorités compétentes ne lui offriraient pas une protection adéquate, au cas où elle en ferait la demande.</w:t>
      </w:r>
    </w:p>
    <w:p>
      <w:r>
        <w:rPr>
          <w:b/>
        </w:rPr>
        <w:t>E. 4.5</w:t>
      </w:r>
    </w:p>
    <w:p>
      <w:r>
        <w:t>Au demeurant, il sied de rappeler que le règlement Dublin III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 59 et § 62 ; ATAF 2017 VI/5 consid. 8.2.1, et références citées ; 2010/45 consid. 8.3).</w:t>
      </w:r>
    </w:p>
    <w:p>
      <w:r>
        <w:rPr>
          <w:b/>
        </w:rPr>
        <w:t>E. 4.6</w:t>
      </w:r>
    </w:p>
    <w:p>
      <w:r>
        <w:t>S'agissant finalement des affections médicales invoquées par la recourante, il faut rappeler que le retour forcé d'une personne touchée dans sa santé n'est, selon la jurisprudence de la Cour EDH (cf. arrêt Paposhvili c. Belgique [GC] du 13 décembre 2016, requête n° 41738/10 et arrêt Savran c. Danemark [GC] du 7 décembre 2021, requête n° 57467/15 par. 122 à 139),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arrêts de la Cour EDH précités ; ATAF 2017 VI/7 consid. 6.2 et jurisp. cit.). En l'occurrence, bien qu'un stress sévère et un trouble de l'adaptation aient été diagnostiqués à l'intéressée, ces derniers sont traités par un antidépresseur et des médicaments à base de plantes (redormin, relaxane et mirtazapin). Aucun rendez-vous médical n'a été par ailleurs prévu, si ce n'est pour des vaccinations. Dans son écrit du 13 avril 2024, la recourante se plaint certes également d'une perte d'appétit ainsi que de troubles du sommeil. Ces affections ne sont toutefois pas établies par un rapport médical. Au vu de ce qui précède, il sied de constater que les problèmes qui affectent la santé de la recourante sans vouloir les minimiser ne sont pas d'une gravité telle, qu'ils permettraient compte tenu de la jurisprudence restrictive en la matière de conclure qu'elle ne serait pas apte à voyager ou que son transfert vers l'Espagne l'exposerait à un danger réel pour sa vie, respectivement sa santé (cf., à ce sujet, Cour EDH précités Paposhvili c. Belgique, par. 183 et Savran c. Danemark, par. 133). En tout état de cause, l'Espagne, qui est liée par la directive Accueil et qui dispose à l'évidence de structures médicales comparables à la Suisse,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Ainsi, l'état de santé de l'intéressée n'est pas de nature à faire obstacle à un transfert vers l'Espagne.</w:t>
      </w:r>
    </w:p>
    <w:p>
      <w:r>
        <w:rPr>
          <w:b/>
        </w:rPr>
        <w:t>E. 5</w:t>
      </w:r>
    </w:p>
    <w:p>
      <w:r>
        <w:t>Au vu de ce qui précède, c'est à juste titre que le SEM n'est pas entré en matière sur la demande d'asile de la recourante, en application de l'art. 31a al. 1 let. b LAsi, et a prononcé son transfert de la Suisse vers l'Espagne, en application de l'art. 44 LAsi, aucune exception à la règle générale du renvoi n'étant réalisée (art. 32 OA 1). Par conséquent, le recours doit être rejeté.</w:t>
      </w:r>
    </w:p>
    <w:p>
      <w:r>
        <w:rPr>
          <w:b/>
        </w:rPr>
        <w:t>E. 6.1</w:t>
      </w:r>
    </w:p>
    <w:p>
      <w:r>
        <w:t>S'avérant manifestement infondé, il l'est dans une procédure à juge unique, avec l'approbation d'une seconde juge (art. 111 let. e LAsi). Il est dès lors renoncé à un échange d'écritures, le présent arrêt n'étant motivé que sommairement (art. 111a al. 1 et 2 LAsi).</w:t>
      </w:r>
    </w:p>
    <w:p>
      <w:r>
        <w:rPr>
          <w:b/>
        </w:rPr>
        <w:t>E. 6.2</w:t>
      </w:r>
    </w:p>
    <w:p>
      <w:r>
        <w:t>Dans la mesure où il a été immédiatement statué sur le fond, les requêtes formulées dans le recours et dans son complément du 13 avril 2024 tendant à l'octroi de l'effet suspensif et à la dispense du versement d'une avance de frais sont sans objet.</w:t>
      </w:r>
    </w:p>
    <w:p>
      <w:r>
        <w:rPr>
          <w:b/>
        </w:rPr>
        <w:t>E. 7.1</w:t>
      </w:r>
    </w:p>
    <w:p>
      <w:r>
        <w:t>Par ailleurs, les conclusions du recours étant d'emblée vouées à l'échec, la demande d'assistance judiciaire totale est rejetée.</w:t>
      </w:r>
    </w:p>
    <w:p>
      <w:r>
        <w:rPr>
          <w:b/>
        </w:rPr>
        <w:t>E. 7.2</w:t>
      </w:r>
    </w:p>
    <w:p>
      <w:r>
        <w:t>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