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F-2040/2019 vom 19. März 2020</w:t>
      </w:r>
    </w:p>
    <w:p>
      <w:r>
        <w:t>Bundesverwaltungsgericht, 2020-03-19, DE</w:t>
      </w:r>
    </w:p>
    <w:p>
      <w:r>
        <w:rPr>
          <w:b/>
        </w:rPr>
        <w:t xml:space="preserve">Quelle: </w:t>
      </w:r>
      <w:r>
        <w:t>https://mcp.opencaselaw.ch/entscheid/bvger_F-2040_2019</w:t>
      </w:r>
    </w:p>
    <w:p>
      <w:r>
        <w:t>FR: TAF F-2040/2019 du 19 mars 2020</w:t>
      </w:r>
    </w:p>
    <w:p>
      <w:r>
        <w:t>IT: TAF F-2040/2019 del 19 marzo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frist- und formgerecht eingereichte Beschwerde ist einzutreten, soweit die Aufhebung des Einreiseverbots beantragt wird (Art. 50 und 52 VwVG). Nicht Gegenstand dieses Verfahrens ist hingegen die vom Beschwerdeführer verlangte Rückerstattung der im Strafverfahren erhobenen Geldbusse bzw. eine allfällige Entschädigung für seine angeblich unbegründete Verhaftung, weshalb darauf nicht einzutreten ist.</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 Aktenmässig ist erstellt, dass der Beschwerdeführer - das letzte Mal am 30. März 2019 - als Chauffeur einer mazedonischen Transportfirma via Chiasso in die Schweiz einreiste, um Waren ab- und aufzuladen, welche er aus dem Kosovo mitgebracht hatte. Anlässlich der polizeilichen Einvernahme vom 1. April 2019 gab er denn auch zu, seit fünf Jahren als Fahrer für diese Firma zu arbeiten und allein im Jahre 2019 drei- bis viermal für jeweils vier Tage in die Schweiz gekommen zu sein, um Waren zu liefern. Dabei stellte sich heraus, dass er nicht über das erforderliche Arbeitsvisum verfügte, welches er als Staatsangehöriger von Nordmazedonien ab dem ersten Tag seiner Erwerbstätigkeit in der Schweiz benötigt hätte (vgl. in diesem Zusammenhang: www.sem.admin.ch Publikationen &amp; Service Weisungen und Kreisschreiben VII. Visa Anhang 1, Liste 1: Staatsangehörigkeit, Stand: 1. Dezember 2019, abgerufen im Februar 2020). Er hat somit fraglos gegen die in der Schweiz geltenden Einreisebestimmungen verstossen. Mit Strafbefehl vom 2. April 2019 wurde er denn auch von der Staatsanwaltschaft Winterthur/Unterland der rechtswidrigen Einreise im Sinne von Art. 115 Abs. 1 Bst. a AIG i.V.m. Art. 5 Abs. 1 Bst. a AIG für schuldig erklärt und zu einer bedingten Geldstrafe sowie einer Busse verurteilt. Dieser Strafbefehl ist in Rechtskraft erwachsen, weshalb kein Anlass besteht, in rechtlicher oder in tatsächlicher Hinsicht von diesem Straferkenntnis abzuweichen (vgl. Urteile des BVGer F-7993/2016 vom 5. März 2019 E. 6.5; F-1130/2017 vom 18. Oktober 2018 E. 4.1.2), zumal es im fraglichen Bereich für die Anordnung einer Fernhaltemassnahme keines vorsätzlichen Verstosses gegen gesetzliche Bestimmungen bedarf (vgl. statt vieler Urteil des BVGer F-5736/2015 vom 6. Januar 2017 E. 5.3 m.H.). Der Beschwerdeführer hat somit ausländerrechtliche Bestimmungen verletzt und damit gegen die öffentliche Sicherheit und Ordnung verstossen, was er denn auch selber eingesteht (vgl. Art. 77a Abs. 1 Bst. a VZAE). Der Fernhaltegrund von Art. 67 Abs. 2 Bst. a AIG ist damit zweifellos gegeben, weshalb die Frage, ob er sich zusätzlich der illegalen Erwerbstätigkeit im Sinne von Art. 115 Abs. 1 Bst. c AIG schuldig gemacht hat - wovon die Vorinstanz auszugehen scheint - offen gelassen werden kann (zur Rechtsanwendung von Amtes wegen bzw. zur sog. Motivsubstitution vgl. Urteil F-1156/2018 E. 4.4.2 m.H.).</w:t>
      </w:r>
    </w:p>
    <w:p>
      <w:r>
        <w:rPr>
          <w:b/>
        </w:rPr>
        <w:t>E. 4.1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4.2</w:t>
      </w:r>
    </w:p>
    <w:p>
      <w:r>
        <w:t>Mit dem dargelegten Verhalten des Beschwerdeführers, welches eine Wegweisungsverfügung des Migrationsamtes des Kantons Zürich sowie eine strafrechtliche Verurteilung zur Folge hatte, wird auf eine Gefährdung der öffentlichen Sicherheit und Ordnung geschlossen. An der Einhaltung der Rechtsordnung im allgemeinen und den Vorschriften über Einreise und Aufenthalt im Besonderen besteht denn ein gewichtiges öffentliches Interesse. Zum einen liegt eine spezialpräventive Zielsetzung der Massnahme darin, den Beschwerdeführer zu ermahnen, bei einer allfälligen künftigen Wiedereinreise nach Ablauf des Einreiseverbots die für ihn geltenden Regeln einzuhalten. Gewichtig ist aber auch das generalpräventiv motivierte Interesse, die öffentliche Ordnung durch eine konsequente Massnahmenpraxis zu schützen (zur Zulässigkeit der Berücksichtigung generalpräventiver Aspekte in Konstellationen, in denen wie hier kein sogenannter Vertragsausländer betroffen ist, vgl. Urteil des BGer 2C_282/2012 vom 31. Juli 2012 E. 2.5 m.H.).</w:t>
      </w:r>
    </w:p>
    <w:p>
      <w:r>
        <w:rPr>
          <w:b/>
        </w:rPr>
        <w:t>E. 4.3</w:t>
      </w:r>
    </w:p>
    <w:p>
      <w:r>
        <w:t>Den öffentlichen Interessen sind die privaten Interessen des Beschwerdeführers gegenüberzustellen. Diese beziehen sich ausschliesslich auf dessen berufliche Tätigkeit. Die vorübergehende (kurzzeitige) Einschränkung seiner Geschäftstätigkeit hat er jedoch selbst zu verantworten und in Kauf zu nehmen.</w:t>
      </w:r>
    </w:p>
    <w:p>
      <w:r>
        <w:rPr>
          <w:b/>
        </w:rPr>
        <w:t>E. 4.4</w:t>
      </w:r>
    </w:p>
    <w:p>
      <w:r>
        <w:t>Schliesslich ist auch nicht zu beanstanden, dass dem Beschwerdeführer die Einreise in das Hoheitsgebiet sämtlicher Schengen-Staaten verboten wurde (vgl. Art. 21 i.V.m. Art. 24 SIS-II-Verordnung sowie BVGE 2014/20 E. 8.5 m.H.), geht es doch in casu um zentrale Bestimmungen der migrationsrechtlichen Ordnung, gegen welche der Beschwerdeführer verstossen hat. Den übrigen Schengen-Staaten bleibt es jedoch unbenommen, dem Beschwerdeführer bei Vorliegen besonderer Gründe die Einreise ins eigene Hoheitsgebiet zu gestatten.</w:t>
      </w:r>
    </w:p>
    <w:p>
      <w:r>
        <w:rPr>
          <w:b/>
        </w:rPr>
        <w:t>E. 4.5</w:t>
      </w:r>
    </w:p>
    <w:p>
      <w:r>
        <w:t>Eine wertende Gewichtung der sich gegenüberstehenden Interessen führt das Bundesverwaltungsgericht zum Ergebnis, dass das auf lediglich ein Jahr befristete Einreiseverbot dem Grundsatz nach und in Bezug auf seine Dauer eine verhältnismässige und angemessene Massnahme zum Schutz der öffentlichen Sicherheit und Ordnung darstellt.</w:t>
      </w:r>
    </w:p>
    <w:p>
      <w:r>
        <w:rPr>
          <w:b/>
        </w:rPr>
        <w:t>E. 5</w:t>
      </w:r>
    </w:p>
    <w:p>
      <w:r>
        <w:t>Aus diesen Erwägungen ergibt sich, dass die angefochtene Verfügung im Lichte von Art. 49 VwVG nicht zu beanstanden ist. Die Beschwerde ist somit abzuweisen.</w:t>
      </w:r>
    </w:p>
    <w:p>
      <w:r>
        <w:rPr>
          <w:b/>
        </w:rPr>
        <w:t>E. 6</w:t>
      </w:r>
    </w:p>
    <w:p>
      <w:r>
        <w:t>Entsprechend dem Ausgang des Verfahrens wird der unterliegende Beschwerdeführer kostenpflichtig (vgl. Art. 63 Abs. 1 VwVG). Die Verfahrenskosten sind auf Fr. 800.-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