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F-2037/2017 vom 4. September 2017</w:t>
      </w:r>
    </w:p>
    <w:p>
      <w:r>
        <w:t>Bundesverwaltungsgericht, 2017-09-04, DE</w:t>
      </w:r>
    </w:p>
    <w:p>
      <w:r>
        <w:rPr>
          <w:b/>
        </w:rPr>
        <w:t xml:space="preserve">Quelle: </w:t>
      </w:r>
      <w:r>
        <w:t>https://mcp.opencaselaw.ch/entscheid/bvger_F-2037_2017</w:t>
      </w:r>
    </w:p>
    <w:p>
      <w:r>
        <w:t>FR: TAF F-2037/2017 du 4 septembre 2017</w:t>
      </w:r>
    </w:p>
    <w:p>
      <w:r>
        <w:t>IT: TAF F-2037/2017 del 4 settembre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von Pakistan.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Pakistan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Bedingt durch seine günstige geographische Lage, Ressourcenreichtum, niedrige Lohnkosten und eine wachsende junge Bevölkerung und Mittelschicht, verfügt Pakistan über ein hohes Potential für wirtschaftliches Wachstum. Aufgrund der jahrzehntelangen Vernachlässigung der sozialen und wirtschaftlichen Infrastruktur und der periodisch wiederkehrenden politischen Instabilität wird dieses Potential jedoch nicht ausgeschöpft; so blieb das Wirtschaftswachstum von 4,7% im Haushaltsjahr 2015/2016 (Juli 2015 - Juni 2016) hinter den Möglichkeiten des Landes zurück. Als eines der grössten Wachstumshemmnisse gilt die prekäre Sicherheitslage des Landes. Landesweit besteht eine erhöhte Gefahr für terroristische Anschläge, insbesondere auf Ziele religiöser Bedeutung oder von hohem sonstigem Symbolwert wie öffentliche Gebäude und Einrichtungen. Die nachhaltige Entwicklung einer liberalen Demokratie mit effektivem Rechtsstaat und Schutz der Menschenrechte wird weiterhin behindert durch Extremismus/Islamismus, Korruption, die starke Stellung des Militärs, den Einfluss von Feudal/Stammes-Strukturen in Politik und Gesellschaft sowie ein in Pakistan oft geleugnetes, aber weiterhin wirksames, durch religiöse Intoleranz angereichertes Kastenwesen (Quellen: www.auswaertiges-amt.de &gt; Aussen- und Europapolitik &gt; Länderinformationen &gt; Pakistan &gt; Wirtschaft / Innenpolitik [Stand: Mai 2017] / Reise- und Sicherheitshinweise [Stand 26. Juli 2017]; Website besucht im Juli 2017).</w:t>
      </w:r>
    </w:p>
    <w:p>
      <w:r>
        <w:rPr>
          <w:b/>
        </w:rPr>
        <w:t>E. 6.2</w:t>
      </w:r>
    </w:p>
    <w:p>
      <w:r>
        <w:t>Vor diesem Hintergrund besteht bei der pakistanischen Bevölkerung ein vielfacher Wunsch nach Auswanderung, der sich vor allem bei denjenigen manifestiert, die bereits über ein Beziehungsnetz im Ausland verfügen.</w:t>
      </w:r>
    </w:p>
    <w:p>
      <w:r>
        <w:rPr>
          <w:b/>
        </w:rPr>
        <w:t>E. 6.3</w:t>
      </w:r>
    </w:p>
    <w:p>
      <w:r>
        <w:t>Allein aufgrund der allgemeinen Lage im Herkunftsland darf zwar nicht auf eine nicht hinreichend gesicherte Wiederausreise geschlossen werden; angesichts der sozio-ökonomischen Verhältnisse und der angespannten Sicherheitslage muss den sozialen Bindungen und Verpflichtungen dort lebender Gesuchsteller aber ein erhebliches Gewicht zukommen, damit deren Rückkehr als wahrscheinlich gelten kann. 7.7.1 Die vom Beschwerdeführer seit dem 28. Januar 2003 geschiedene Gesuchstellerin, geb. 1974, hat mit dem Beschwerdeführer zusammen drei Kinder. Sie lebt in C._______ in der Provinz Punjab unweit der Grenze zu Indien. Ebenfalls in C._______ leben einer der gemeinsamen Zwillingssöhne (geb. 20. März 1997), ihre Geschwister und ihre Mutter. Es ist nachvollziehbar, dass die Gesuchstellerin ihre in der Schweiz lebenden Familienangehörigen nach langjähriger Trennung besuchen will, zumal der jüngere ihrer zwei in der Schweiz lebenden Söhne (geb. 20. März 1997 und 16. November 1999) offenbar schulische Probleme hat und seine Mutter vermissen soll. Das zweifellos auch in ihrer Heimat bestehende verwandtschaftliche Umfeld liefert keine hinreichenden Anhaltspunkte für die angeblich deswegen bestehenden Rückkehrabsichten zumal ihr Sohn in Pakistan bereits 20 Jahre alt und somit erwachsen ist (vgl. SEM-pag. 15, 17 und 48). 7.2 Bezüglich ihrer wirtschaftlichen Verhältnisse kann festgehalten werden, dass sie in ihrem Antrag auf Erteilung eines Schengen-Visums angab, "Housewife" zu sein (SEM-pag. 37 Nr. 19). In der Rubrik Zivilstand gab sie an, geschieden zu sein (SEM-pag. 38 Nr. 9). Die Gesuchstellerin verfügt somit über kein regelmässiges Einkommen. Zur finanziellen Situation wurden denn auch keine Angaben gemacht. Demzufolge bleibt auch im Beschwerdeverfahren unklar, von welchen Subsistenzmitteln die Gesuchstellerin lebt bzw. in welchen Verhältnissen sich ihre Familie befindet. Es versteht sich von selbst, dass auch solche Umstände nicht auf eine Verwurzelung, sondern im Gegenteil auf die besondere Gefahr schliessen lassen, dass die Betroffene - wie viele andere auch - eine Sicherung ihrer Existenz durch Emigration ins Ausland suchen könnte. 7.3 Zusammenfassend ist festzuhalten, dass die Gesuchstellerin angesichts der schwierigen sozio-ökonomischen Verhältnisse in Pakistan (E.6) und mangels besonders gesicherter Einkommens- und Vermögensverhältnisse und/oder besonderer Verpflichtungen oder Abhängigkeiten gegenüber Familienmitgliedern in Pakistan keine Gewähr für eine Rückkehr nach ihrem Aufenthalt in der Schweiz hat glaubhaft machen können. 7.4 Überdies mutet es seltsam an, dass die Gesuchstellerin eine pakistanische Identitätskarte, gültig vom 29. September 2016 bis zum 29. September 2026, besitzt, bei welcher unter der Rubrik "Country of Stay" "Switzerland" steht (vgl. SEM-pag. 29). Allein dieser Umstand spricht bereits gegen eine fristgerechte Wiederausreise aus dem Schengen-Raum. 7.5 An den guten Absichten und der Integrität des Beschwerdeführers ist nicht zu zweifeln. Er kann in seiner Eigenschaft als Gastgeber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seines Gastes (vgl. BVGE 2009/27 E. 9). 8.Vor dem aufgezeigten Hintergrund durfte die Vorinstanz zu Recht annehmen, die Wiederausreise der Gesuchstellerin sei nicht gesichert. Die Vor-aussetzungen für die Erteilung eines sogenannten einheitlichen Visums - gültig für den gesamten Schengen-Raum - sind somit nicht erfüllt. Angesichts der nach wie vor bestehenden Unklarheiten bezüglich der Lebenssituation der Gesuchstellerin sowie des Fehlens besonderer humanitärer Umstände, erscheint auch die Ausstellung eines Einreisevisums mit räumlich beschränkter Gültigkeit (vgl. E. 4.2) nicht opportun. 9.Aus vorstehenden Erwägungen folgt, dass die angefochtene Verfügung im Lichte von Art. 49 VwVG nicht zu beanstanden ist. Die Beschwerde ist daher abzuweisen. 10.Bei diesem Ausgang des Verfahrens sind die Kosten dem Beschwerdeführer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