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F-2011/2024 vom 5. April 2024</w:t>
      </w:r>
    </w:p>
    <w:p>
      <w:r>
        <w:t>Bundesverwaltungsgericht, 2024-04-05, DE</w:t>
      </w:r>
    </w:p>
    <w:p>
      <w:r>
        <w:rPr>
          <w:b/>
        </w:rPr>
        <w:t xml:space="preserve">Quelle: </w:t>
      </w:r>
      <w:r>
        <w:t>https://mcp.opencaselaw.ch/entscheid/bvger_F-2011_2024</w:t>
      </w:r>
    </w:p>
    <w:p>
      <w:r>
        <w:t>FR: TAF F-2011/2024 du 5 avril 2024</w:t>
      </w:r>
    </w:p>
    <w:p>
      <w:r>
        <w:t>IT: TAF F-2011/2024 del 5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Im Rahmen des Wiederaufnahmeverfahrens (Art. 23-25 Dublin-III-VO) - und damit in der vorliegenden Konstellation - findet grundsätzlich keine (neue) Zuständigkeitsprüfung nach Kapitel III Dublin-III-VO statt (vgl. zum Ganzen BVGE 2019 VI/7 E. 4-6; 2017 VI/5 E. 6.2 und 8.2.1).</w:t>
      </w:r>
    </w:p>
    <w:p>
      <w:r>
        <w:rPr>
          <w:b/>
        </w:rPr>
        <w:t>E. 4.3</w:t>
      </w:r>
    </w:p>
    <w:p>
      <w:r>
        <w:t>Ein bereits erfolgter negativer Asylentscheid stellt kein Überstellungshindernis dar. Nach rechtskräftigem Abschluss des Asyl- und Wegweisungsverfahrens bleibt der prüfende Staat nach Art. 18 Abs. 1 Bst. d Dublin-III-VO bis zu einem allfälligen Wegweisungsvollzug oder einer Regelung des Aufenthaltsstatus zuständig. Nachdem die französischen Behörden der Wiederaufnahme des Beschwerdeführers innert der in Art. 25 Abs. 1 Dublin-III-VO vorgesehenen Frist zugestimmt haben (vgl. SEM-act. 17/2), ist die grundsätzliche Zuständigkeit Frankreichs für die Durchführung des Asyl- und Wegweisungsverfahrens gegeben. Es bleibt zu prüfen, ob Gründe für eine Übernahme der sachlichen Zuständigkeit vorliegen.</w:t>
      </w:r>
    </w:p>
    <w:p>
      <w:r>
        <w:rPr>
          <w:b/>
        </w:rPr>
        <w:t>E. 5</w:t>
      </w:r>
    </w:p>
    <w:p>
      <w:r>
        <w:t>Der Beschwerdeführer machte diesbezüglich während des Dublin-Gesprächs (vgl. SEM-act. 13/3) und in seiner Beschwerdeschrift geltend, er habe in Frankreich auf sein Asylgesuch hin einen negativen Entscheid erhalten. Ihm drohe dort eine Rückschiebung nach Afghanistan, was eine Verletzung des in den Art. 25 BV und Art. 33 des Abkommens vom 28. Juli 1951 über die Rechtsstellung der Flüchtlinge (FK; SR 0.142.30) festgelegten Non-Refoulement-Gebots darstelle. Dazu reicht er auf Beschwerdeebene einen unvollständigen Entscheid eines französischen Gerichts ein (Cour nationale du droit d'asile [BVGer-act. 1, Beilage 2]).</w:t>
      </w:r>
    </w:p>
    <w:p>
      <w:r>
        <w:rPr>
          <w:b/>
        </w:rPr>
        <w:t>E. 6</w:t>
      </w:r>
    </w:p>
    <w:p>
      <w:r>
        <w:t>Nach ständiger Rechtsprechung des Bundesverwaltungsgerichts weist das Asylverfahren in Frankreich keine systemischen Schwachstellen im Sinne von Art. 3 Abs. 2 Dublin-III-VO auf (vgl. zuletzt etwa die Urteile des BVGer D-1029/2024 vom 23. Februar 2024 E. 7, D-6755/2023 vom 13. Dezember 2023 E. 5.2, F-6666/2023 vom 11. Dezember 2023 E. 6). Frankreich ist Signatarstaat der EMRK, des Übereinkommens vom 10. Dezember 1984 gegen Folter und andere grausame, unmenschliche oder erniedrigende Behandlung oder Strafe (FoK, SR 0.105), der FK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Daran vermögen auch die Ausführungen des Beschwerdeführers nichts zu ändern. Die Anwendung von Art. 3 Abs. 2 Dublin-III-VO fällt somit nicht in Betracht.</w:t>
      </w:r>
    </w:p>
    <w:p>
      <w:r>
        <w:rPr>
          <w:b/>
        </w:rPr>
        <w:t>E. 7.1</w:t>
      </w:r>
    </w:p>
    <w:p>
      <w:r>
        <w:t>Nachfolgend ist zu prüfen, ob die Schweiz - wie vom Beschwerdeführer implizit gefordert - das Selbsteintrittsrecht nach Art. 17 Abs. 1 Satz 1 Dublin-III-VO (konkretisiert in Art. 29a Abs. 3 AsylV 1) auszuüben hat. Im Rahmen des Dublin-Systems gilt die Vermutung, dass alle Mitgliedstaaten des Dublin-Raums ihren völkerrechtlichen Verpflichtungen nachkom-men. Diese Vermutung kann jedoch durch ernsthafte Hinweise dafür, dass die Behörden des zuständigen Dublin-Staats im konkreten Fall das internationale Recht nicht respektieren, widerlegt werden (vgl. BVGE 2010/40 E. 7.4 f.). Dies gelingt dem Beschwerdeführer nicht. Allein aus dem Umstand, dass die französischen Asylbehörden sein Asylgesuch offenbar bereits abgelehnt haben, lässt sich nicht ableiten, deren Entscheid sei nicht im Rahmen eines rechtsstaatlich korrekten Verfahrens ergangen. Es liegen auch keine Anhaltspunkte vor, die darauf schliessen lassen, Frankreich habe im Falle des Beschwerdeführers den Grundsatz des Non-Refoulement gemäss Art. 33 FK und Art. 3 EMRK nicht beachtet und beabsichtige, ihn nach Afghanistan zurückzuschaffen, ohne geprüft zu haben, ob ihm dort die flüchtlingsrechtlich relevante Verfolgung oder eine menschenrechtswidrige Behandlung drohen würde. Der Beschwerdeführer hat im Übrigen die Möglichkeit, nach seiner Überstellung nach Frankreich ein Mehrfach- oder Wiedererwägungsgesuch zu stellen (Art. 40 ff. Verfahrensrichtlinie) und sich solcherart um eine Überprüfung des negativen Asyl- und Wegweisungsentscheides beziehungsweise dessen Vollzugs zu bemühen.</w:t>
      </w:r>
    </w:p>
    <w:p>
      <w:r>
        <w:rPr>
          <w:b/>
        </w:rPr>
        <w:t>E. 7.2</w:t>
      </w:r>
    </w:p>
    <w:p>
      <w:r>
        <w:t>Entgegen der im Dublin-Gespräch und in der Beschwerde erhobenen Behauptungen die Unterbringung und die medizinische Versorgung betreffend gibt es auch keinen Grund zur Annahme, die ihn bei einer Rückführung erwartenden Bedingungen in Frankreich seien derart schlecht, dass sie zu einer Verletzung von Art. 4 der EU-Grundrechtecharta (GRC; ABl. C 364/1 vom 18. Dezember 2000), Art. 3 EMRK oder Art. 3 FoK führen könnten. 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an die dortigen Behörden wenden und die ihm zustehenden Aufnahmebedingungen auf dem Rechtsweg einfordern (vgl. Art. 26 Aufnahmerichtlinie). Schliesslich leidet der Beschwerdeführer- jedenfalls ergibt sich aus den Akten nichts Gegenteiliges - an keinen schwerwiegenden gesundheitlichen Beeinträchtigungen, welche bei einer Überstellung nach Frankreich zu einer Verletzung von Art. 3 EMRK führen könnten.</w:t>
      </w:r>
    </w:p>
    <w:p>
      <w:r>
        <w:rPr>
          <w:b/>
        </w:rPr>
        <w:t>E. 7.3</w:t>
      </w:r>
    </w:p>
    <w:p>
      <w:r>
        <w:t>Die Vorbringen des Beschwerdeführers stehen nach dem Gesagten einer Überstellung nach Frankreich nicht entgegnen, weshalb die Vorinstanz das Selbsteintrittsrecht von Art. 17 Dublin-III-VO sowie Art. 29a Abs. 3 AsylV 1 zu Recht nicht ausgeübt hat. Weder ist die Schweiz völkerrechtlich verpflichtet, auf das Asylgesuch einzutreten, noch liegen humanitäre Gründe vor, welche einen Selbsteintritt nahelegen würden.</w:t>
      </w:r>
    </w:p>
    <w:p>
      <w:r>
        <w:rPr>
          <w:b/>
        </w:rPr>
        <w:t>E. 8</w:t>
      </w:r>
    </w:p>
    <w:p>
      <w:r>
        <w:t>Die Vorinstanz ist demnach zu Recht gemäss Art. 31a Abs. 1 Bst. b AsylG auf das Asylgesuch des Beschwerdeführers nicht eingetreten und hat in Anwendung von Art. 44 AsylG die Wegweisung nach Frankreich angeordnet. Die Beschwerde ist abzuweisen und die angefochtene Verfügung zu bestätigen.</w:t>
      </w:r>
    </w:p>
    <w:p>
      <w:r>
        <w:rPr>
          <w:b/>
        </w:rPr>
        <w:t>E. 9</w:t>
      </w:r>
    </w:p>
    <w:p>
      <w:r>
        <w:t>Mit vorliegendem Urteil in der Hauptsache sind die Gesuche um Gewährung der aufschiebenden Wirkung (nach Art. 107a Abs. 2 AsylG) und um Befreiung von der Kostenvorschusspflicht (gemäss Art. 63 Abs. 4 VwVG) gegenstandslos geworden. Der am 4. April 2024 verfügte Vollzugsstopp fällt mit dem vorliegenden Urteil dahin.</w:t>
      </w:r>
    </w:p>
    <w:p>
      <w:r>
        <w:rPr>
          <w:b/>
        </w:rPr>
        <w:t>E. 10</w:t>
      </w:r>
    </w:p>
    <w:p>
      <w:r>
        <w:t>Das Gesuch um Gewährung der unentgeltlichen Rechtspflege ist abzuweisen, da die Begehren - wie sich aus den vorstehenden Erwägungen ergibt - als aussichtslos zu bezeichnen sind (Art. 65 Abs. 1 VwVG). Angesichts des Ausgangs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