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F-2003/2018 vom 25. Juni 2018</w:t>
      </w:r>
    </w:p>
    <w:p>
      <w:r>
        <w:t>Bundesverwaltungsgericht, 2018-06-25, DE</w:t>
      </w:r>
    </w:p>
    <w:p>
      <w:r>
        <w:rPr>
          <w:b/>
        </w:rPr>
        <w:t xml:space="preserve">Quelle: </w:t>
      </w:r>
      <w:r>
        <w:t>https://mcp.opencaselaw.ch/entscheid/bvger_F-2003_2018</w:t>
      </w:r>
    </w:p>
    <w:p>
      <w:r>
        <w:t>FR: TAF F-2003/2018 du 25 juin 2018</w:t>
      </w:r>
    </w:p>
    <w:p>
      <w:r>
        <w:t>IT: TAF F-2003/2018 del 25 giugno 2018</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SEM, mit denen die Erteilung eines Schengen-Visums zu Besuchszwecken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Beschwerdeführer sind als Gastgeber und Einsprecher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m.H.).</w:t>
      </w:r>
    </w:p>
    <w:p>
      <w:r>
        <w:rPr>
          <w:b/>
        </w:rPr>
        <w:t>E. 3</w:t>
      </w:r>
    </w:p>
    <w:p>
      <w:r>
        <w:t>Der angefochtenen Verfügung liegen die Gesuche eines Ehepaars aus Afghanistan um Erteilung eines Visums für einen 30-tägigen Besuchsaufenthalt in der Schweiz zugrunde. Da sich die Gesuchsteller nicht auf die EU/EFTA-Personenfreizügigkeitsabkommen berufen können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(vgl. Art. 2 Abs. 2 - 5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Fassung gemäss Änderung vom 5. April 2017, AS 2017 2549] i.V.m. Art. 6 Abs. 1 und 2 der Verordnung [EU] Nr. 2016/399 des Europäischen Parlaments und des Rates vom 9. März 2016 über einen Gemeinschaftskodex für das Überschreiten der Grenzen durch Personen [nachfolgend: Schengener Grenzkodex, SGK, ABl. L 77 vom 23.03.2016, geändert durch Verordnung (EU) 2017/458, ABl. L 74 vom 18.03.2017; kodifizierter Text], Art. 4 Abs. 1 VEV).</w:t>
      </w:r>
    </w:p>
    <w:p>
      <w:r>
        <w:rPr>
          <w:b/>
        </w:rPr>
        <w:t>E. 4.3</w:t>
      </w:r>
    </w:p>
    <w:p>
      <w:r>
        <w:t>Im Weiteren müssen Drittstaatsangehörige den Zweck und die Umstände ihres beabsichtigten Aufenthalts belegen und hierfür über ausreichende finanzielle Mittel verfügen (Art. 5 Abs. 1 Bst. b AuG, Art. 2 Abs. 1 VEV, Art. 6 Abs. 1 Bst. c und Abs. 4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Egli/Meyer, in: Caroni/Gächter/Thurnherr [Hrsg.], Stämpflis Handkommentar zum Bundesgesetz über die Ausländerinnen und Ausländer, 2010,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w:t>
      </w:r>
    </w:p>
    <w:p>
      <w:r>
        <w:rPr>
          <w:b/>
        </w:rPr>
        <w:t>E. 4.4</w:t>
      </w:r>
    </w:p>
    <w:p>
      <w:r>
        <w:t>Eine Gefahr für die öffentliche Ordnung im Sinne von Art. 6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für eine gesicherte Wiederausreise, wie sie Art. 5 Abs. 2 AuG verlangt, wenn nur ein vorübergehender Aufenthalt vorgesehen ist, steht mit dieser Regelung im Einklang (vgl. BVGE 2009/27 E. 5 mit Hervorhebung des Zusammenhangs zum Einreiseerfordernis des belegten Aufenthaltszwecks nach Art. 6 Abs. 1 Bst. c SGK).</w:t>
      </w:r>
    </w:p>
    <w:p>
      <w:r>
        <w:rPr>
          <w:b/>
        </w:rPr>
        <w:t>E. 4.5</w:t>
      </w:r>
    </w:p>
    <w:p>
      <w:r>
        <w:t>Sind die vorerwähnten Einreisevoraussetzungen (Visum ausgenommen) nicht erfüllt, darf ein für den gesamten Schengen-Raum geltendes "einheitliches Visum" (Art. 2 Ziff. 3 Visakodex) nicht erteilt werden (Art. 12 VEV, Art. 36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6 Abs. 5 Bst. c SGK).</w:t>
      </w:r>
    </w:p>
    <w:p>
      <w:r>
        <w:rPr>
          <w:b/>
        </w:rPr>
        <w:t>E. 5.1</w:t>
      </w:r>
    </w:p>
    <w:p>
      <w:r>
        <w:t>Die Vorinstanz verweigerte die Erteilung der beantragten Schengen-Visa mit der Begründung, die anstandslose und fristgerechte Wiederausreise erscheine nicht als hinreichend gesichert.</w:t>
      </w:r>
    </w:p>
    <w:p>
      <w:r>
        <w:rPr>
          <w:b/>
        </w:rPr>
        <w:t>E. 5.2</w:t>
      </w:r>
    </w:p>
    <w:p>
      <w:r>
        <w:t>Wie oben erwähnt, unterliegen die Gesuchsteller aufgrund ihrer Staatszugehörigkeit der Visumspflicht (vgl. Anhang I zur Verordnung [EG] Nr. 539/2001 [ABl. L 81 vom 21.03.2001; zum vollständigen Quellennachweis vgl. Fussnote zu Art. 4 Abs. 1 VEV]). Bei der Prüfung der Einreisevor-aussetzungen nach Art. 5 Abs. 1 SGK ist die Frage der gesicherten Wiederausreise zentral. Zur Einschätzung entsprechender Risiken sind sämtliche Umstände des konkreten Einzelfalles zu würdigen. 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5.3</w:t>
      </w:r>
    </w:p>
    <w:p>
      <w:r>
        <w:t>Afghanistan ist mit einem nominalen Pro-Kopf-Einkommen von 561 US-Dollar (Schätzung 2016) nach wie vor eines der ärmsten Länder der Welt und belegt im "Human Development Index 2016" des UNDP (Entwicklungsprogramm der Vereinten Nationen) den 169. Platz unter 187 Staaten. Die wirtschaftliche Entwicklung Afghanistans wird trotz hoher jährlicher Wachstumsraten weiterhin nicht durch ein selbsttragendes Wirtschaftswachstum, sondern durch Zuflüsse aus der internationalen Gebergemeinschaft stimuliert. Zudem gestaltet sich im ländlichen Raum die wirtschaftliche Entwicklung angesichts mangelnder Infrastruktur, fehlender Erwerbsmöglichkeiten ausserhalb der Landwirtschaft und geringen Ausbildungsstands weiterhin schwierig; der Anteil an Analphabeten liegt bei rund 90% der Gesamtbevölkerung. Nicht ausser Acht gelassen werden darf zudem auch die Menschenrechtslage in Afghanistan, die, trotz der ausdrücklichen Verpflichtung Afghanistans zur Wahrung der Menschenrechte, schwierig bleibt. Dies bezieht sich insbesondere auch auf die Lage der Frauen. Ursachen hierfür sind mangelndes Rechtsverständnis und mangelnde personelle und materielle Kapazitäten sowie vor allem die schwierige Sicherheitslage und die weit verbreitete Korruption (Quelle: www.auswaertiges-amt.de &gt; Aussen- und Europapolitik &gt; Länderinformationen &gt; Afghanistan &gt; Wirtschaft sowie Innenpolitik, Stand März 2018, besucht im Juni 2018). Vor diesem Hintergrund besteht bei der afghanischen Bevölkerung ein vielfacher Wunsch nach Auswanderung, der sich vor allem bei denjenigen Personen manifestiert, die bereits über ein Beziehungsnetz im Ausland verfügen. Die schwierige Lage der afghanischen Bevölkerung widerspiegelt sich im Übrigen auch in der Schweizerischen Asylstatistik, wonach Afghanistan im Jahr 2017 mit 1217 Asylgesuchen in der Schweiz immerhin noch an dritter Stelle der Herkunftsstaaten stand (Quelle: www.sem.admin.ch &gt; Publikation &amp; Service &gt; Asylstatistik &gt; Archiv ab 1994 &gt; 2017 &gt; Kommentierte Asylstatistik 2017 S. 4).</w:t>
      </w:r>
    </w:p>
    <w:p>
      <w:r>
        <w:rPr>
          <w:b/>
        </w:rPr>
        <w:t>E. 6.1</w:t>
      </w:r>
    </w:p>
    <w:p>
      <w:r>
        <w:t>Allein aufgrund der allgemeinen Lage im Herkunftsland darf zwar nicht auf eine nicht hinreichend gesicherte Wiederausreise geschlossen werden; angesichts der sozio-ökonomischen Verhältnisse und der angespannten Sicherheitslage muss den sozialen Bindungen und Verpflichtungen dort lebender Gesuchsteller aber ein erhebliches Gewicht zukommen, damit deren Rückkehr als wahrscheinlich gelten kann. Obliegt einer gesuchstellenden Person im Heimat- oder Herkunftsland beispielsweise eine besondere berufliche, gesellschaftliche oder familiäre Verantwortung, kann dieser Umstand durchaus die Prognose für eine anstandslose Wiederausreise begünstigen. Andererseits muss bei Personen, die in ihrer Heimat bzw. in ihrem Herkunftsland keine besonderen Verpflichtungen haben, das Risiko eines ausländerrechtlich nicht regelkonformen Verhaltens nach einer bewilligten Einreise als hoch eingeschätzt werden.</w:t>
      </w:r>
    </w:p>
    <w:p>
      <w:r>
        <w:rPr>
          <w:b/>
        </w:rPr>
        <w:t>E. 7.1</w:t>
      </w:r>
    </w:p>
    <w:p>
      <w:r>
        <w:t>Bei den Gesuchstellern handelt es sich um ein Ehepaar, welches ihre beiden in der Schweiz lebenden Töchter und deren Familien besuchen möchte. Der Gesuchsteller ist mittlerweile 67, seine Ehefrau 59 Jahre alt. Über ihre persönlichen Verhältnisse, beispielsweise ihren Gesundheitszustand, ist nichts Näheres bekannt, ausser, dass dem Eingeladenen am 21. Dezember 2016 von den indischen Behörden ein Visum ausgestellt wurde, um sich offenbar in diesem Land medizinisch behandeln zu lassen ("Visa Type: MEDICAL"; vgl. SEM act. 3 S. 28 und 45). Zu ihrem familiären Umfeld kann den Akten entnommen werden, dass sie mit ihren Söhnen und Schwiegertöchtern in familiärer Gemeinschaft leben. Vor diesem Hintergrund ist zwar in casu von familiären Bindungen innerhalb des angestammten Lebensumfeldes auszugehen. Darüber hinausgehende Verpflichtungen, die von einer allfälligen Emigration abzuhalten vermöchten, sind aber keine erkennbar.</w:t>
      </w:r>
    </w:p>
    <w:p>
      <w:r>
        <w:rPr>
          <w:b/>
        </w:rPr>
        <w:t>E. 7.2</w:t>
      </w:r>
    </w:p>
    <w:p>
      <w:r>
        <w:t>Entsprechend grosse Bedeutung kommt deshalb den wirtschaftlichen Verhältnissen zu, in denen sich die Eingeladenen befinden. Bei der Gesuchstellerin handelt es sich - der afghanischen Tradition entsprechend - um eine Hausfrau. Ihr Ehemann befindet sich im Pensionsalter und bezieht eine monatliche Rente von umgerechnet knapp Fr. 70.- (SEM act. 3 S. 46 und 61), soll aber nebenbei noch eine kleine private Schneiderei mit einem Mitarbeiter und zwei Lehrlingen betreiben. Für den Lebensunterhalt ihrer Eltern kommen jedoch einerseits die beiden Söhne in Afghanistan, andererseits die in der Schweiz lebenden Töchter auf, welche die Gesuchsteller regelmässig finanziell unterstützen (SEM act. 3 S. 39 und 40). Auch wenn die wirtschaftliche Existenz der Gesuchsteller vor Ort dadurch gesichert sein dürfte, befinden sie sich nicht finanziell in vergleichsweise vorteilhaften Verhältnissen, die sie verlässlich davon abhalten könnten, den Entscheid für eine Emigration zu fällen.</w:t>
      </w:r>
    </w:p>
    <w:p>
      <w:r>
        <w:rPr>
          <w:b/>
        </w:rPr>
        <w:t>E. 7.3</w:t>
      </w:r>
    </w:p>
    <w:p>
      <w:r>
        <w:t>Nach dem bisher Gesagten können die Gesuchsteller aus der räumlichen Nähe zu Kindern und Grosskindern vor Ort und ihrem Alter eine gewisse Verwurzelung in der angestammten Umgebung ableiten. Auf der anderen Seite haben sie ebenfalls einen starken Bezug zur Schweiz, da hier ihre beiden Töchter mit ihren Familien leben. In Konstellationen wie der vorliegenden, in denen nahe Angehörige sowohl in einem wie im andern Land wohnen, können (nebst der Möglichkeiten zur Pflege verwandtschaftlicher Kontakte) erfahrungsgemäss auch andere Umstände ausschlaggebend sein, wenn es um den Entscheid für oder gegen eine Emigration geht. Von entscheidender Bedeutung können in solchen Fällen auch Faktoren wie etwa die soziale Sicherheit oder die Qualität der Gesundheitsversorgung sein. Angesichts des fortgeschrittenen Alters der Gesuchsteller kann nicht ausgeschlossen werden, dass sie - einmal hier - versucht sein könnten, den Lebensabend zusammen mit ihren in der Schweiz lebenden Familienangehörigen zu verbringen. Vor diesem Hintergrund erweist sich der Einwand der Beschwerdeführer, die Gesuchsteller seien in der Vergangenheit bereits nach Indien, Pakistan und sogar nach Russland gereist und jeweils wieder in ihr Heimatland zurückgekehrt, als unbehelflich.</w:t>
      </w:r>
    </w:p>
    <w:p>
      <w:r>
        <w:rPr>
          <w:b/>
        </w:rPr>
        <w:t>E. 7.4</w:t>
      </w:r>
    </w:p>
    <w:p>
      <w:r>
        <w:t>Vor dem dargelegten allgemeinen und persönlichen Hintergrund durfte die Vorinstanz - wie im Übrigen auch die Schweizerische Vertretung in Islamabad, welcher bei ihrem Entscheid umfangreiche Visumsakten vorlagen - willkürfrei davon ausgehen, die Wiederausreise der Eingeladenen sei im Sinne der massgeblichen Bestimmungen nicht gesichert. An der Richtigkeit dieser Einschätzung ändert auch die Tatsache nichts, dass die Beschwerdeführer, die gemäss den eingereichten Unterlagen fraglos über einen guten Leumund verfügen, die in Art. 7 Abs. 1 VEV geregelte Verpflichtungserklärung abgegeben und damit ihr Vertrauen in ein rechtskonformes Verhalten ihrer Gäste zum Ausdruck gebracht haben. Bei der Risikobeurteilung ist aber in erster Linie das mögliche Verhalten der Gäste selbst von Bedeutung. Gastgeber können mit rechtlich verbindlicher Wirkung zwar für gewisse finanzielle Risiken im Zusammenhang mit dem Besuchsaufenthalt, nicht aber für ein bestimmtes Tun oder Unterlassen ihrer Gäste einstehen (vgl. in diesem Zusammenhang auch BVGE 2009/27 E. 9).</w:t>
      </w:r>
    </w:p>
    <w:p>
      <w:r>
        <w:rPr>
          <w:b/>
        </w:rPr>
        <w:t>E. 7.5</w:t>
      </w:r>
    </w:p>
    <w:p>
      <w:r>
        <w:t>Mit der fehlenden Gewähr für eine anstandslose Wiederausreise ist eine zwingende Voraussetzung zur Erteilung eines Schengen-Visums nicht erfüllt. Gründe für die Ausstellung eines Visums mit räumlich beschränkter Gültigkeit wurden von den Beteiligten zu Recht nicht geltend gemacht und solche sind auch nicht ersichtlich. Insbesondere können sich die Beschwerdeführer nicht auf Art. 8 EMRK berufen, tangiert die Verweigerung der Einreisebewilligung doch vorliegend nicht die Kernfamilie, d.h. die Gemeinschaft der Ehegatten mit ihren minderjährigen Kindern. Die bundesgerichtliche Rechtsprechung anerkennt zwar auch Ansprüche unter Erwachsenen, wenn zwischen nahen Familienangehörigen - beispielsweise aufgrund von Krankheit oder Invalidität - ein besonderes Abhängigkeitsverhältnis besteht (vgl. bspw. Urteile des BGer 2C_418/2015 vom 21. Dezember 2015 E. 4.6.2 und des BVGer C-1902/2012 vom 18. Februar 2014 E. 5.3.1 je m.w.H.). In vorliegendem Verfahren wird hingegen nicht dargetan und ist auch nicht aus den Akten ersichtlich, inwiefern ein solches besonderes Abhängigkeitsverhältnis zwischen den Gastgebern und ihren Gästen bestehen soll. Ohnehin gilt es zu beachten, dass Art. 8 EMRK praxisgemäss keinen Anspruch auf Einreise und Aufenthalt verschafft (BGE 138 I 246 E. 3.2.1 S. 250 m.H.). Die Konventionsgarantie schützt das Familienleben als solches und nicht die freie Wahl des für den Aufbau und die Führung des Familienlebens günstigsten Ortes. Ein Eingriff in den Schutzbereich des Familienlebens liegt daher in aller Regel nicht vor, wenn von den Beteiligten ohne Weiteres erwartet werden kann, das Familienleben ausserhalb der Schweiz zu pflegen. Eine Interessenabwägung nach Art. 8 Abs. 2 EMRK erübrigt sich unter diesen Umständen. Anders verhält es sich, wenn den Beteiligten nicht oder nicht ohne Weiteres die Kontaktpflege im Ausland zuzumuten ist (BVGE 2011/48 E. 6.3.1 m.H.). Vorliegend kann der persönliche Kontakt zwischen Gastgebern und Eingeladenen auch anderweitig aufrecht erhalten werden, weisen doch die Beschwerdeführer in ihrer ergänzenden Eingabe vom 24. April 2018 explizit darauf hin, dass sie und ihre Familienangehörigen in der Schweiz, selbst mit ihren Kleinkindern, jedes Jahr nach Afghanistan reisen würden, um ihre Eltern und weitere Verwandte zu besuchen. Bei dieser Sachlage kann vorliegend auch aus Art. 8 EMRK kein Anspruch auf Erteilung eines Visums abgeleitet werden. Es bestehen demzufolge auch keine Gründe, die es erlauben würden, den Gesuchstellern humanitäre Visa mit räumlich beschränkter Gültigkeit auszustellen (vgl. zum Ganzen Urteil des BVGer C-6239/2015 vom 4. März 2016 E. 9).</w:t>
      </w:r>
    </w:p>
    <w:p>
      <w:r>
        <w:rPr>
          <w:b/>
        </w:rPr>
        <w:t>E. 8</w:t>
      </w:r>
    </w:p>
    <w:p>
      <w:r>
        <w:t>Aus vorstehenden Erwägungen folgt, dass die angefochtene Verfügung im Lichte von Art. 49 VwVG nicht zu beanstanden ist. Die Beschwerde ist daher abzuweisen.</w:t>
      </w:r>
    </w:p>
    <w:p>
      <w:r>
        <w:rPr>
          <w:b/>
        </w:rPr>
        <w:t>E. 9</w:t>
      </w:r>
    </w:p>
    <w:p>
      <w:r>
        <w:t>Entsprechend dem Ausgang des Verfahrens werden die unterliegenden Beschwerdeführer kostenpflichtig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