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F-1/2024 vom 8. Januar 2024</w:t>
      </w:r>
    </w:p>
    <w:p>
      <w:r>
        <w:t>Bundesverwaltungsgericht, 2024-01-08, DE</w:t>
      </w:r>
    </w:p>
    <w:p>
      <w:r>
        <w:rPr>
          <w:b/>
        </w:rPr>
        <w:t xml:space="preserve">Quelle: </w:t>
      </w:r>
      <w:r>
        <w:t>https://mcp.opencaselaw.ch/entscheid/bvger_F-1_2024</w:t>
      </w:r>
    </w:p>
    <w:p>
      <w:r>
        <w:t>FR: TAF F-1/2024 du 8 janvier 2024</w:t>
      </w:r>
    </w:p>
    <w:p>
      <w:r>
        <w:t>IT: TAF F-1/2024 del 8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4.4</w:t>
      </w:r>
    </w:p>
    <w:p>
      <w:r>
        <w:t>Ein Abgleich der Fingerabdrücke des Beschwerdeführers mit der «Eurodac»-Datenbank ergab, dass er am 21. November 2023 in Kroatien ein Asylgesuch gestellt hatte (SEM act. 8). Das SEM ersuchte deshalb die kroatischen Behörden am 4. Dezember 2023 gestützt auf Art. 18 Abs. 1 Bst. b Dublin-III-VO um Wiederaufnahme des Beschwerdeführers (SEM act. 14). Die kroatischen Behörden stimmten dem Wiederaufnahmeersuchen am 16. Dezember 2023 gestützt auf Art. 20 Abs. 5 Dublin-III-VO zu (SEM act. 16). Damit sind sowohl die Antragsstellung in Kroatien als auch der Umstand, dass das kroatische Verfahren zur Bestimmung des für das Asylgesuch des Beschwerdeführers zuständigen Mitgliedstaats gemäss Art. 20 Abs. 5 Dublin-III-VO noch nicht abgeschlossen wurde und nach einer Rücküberstellung fortgesetzt wird, als erstellt zu betrachten (vgl. etwa Urteil des BVGer F-4364/2023 vom 24. August 2023 E. 5.4).</w:t>
      </w:r>
    </w:p>
    <w:p>
      <w:r>
        <w:rPr>
          <w:b/>
        </w:rPr>
        <w:t>E. 4.5</w:t>
      </w:r>
    </w:p>
    <w:p>
      <w:r>
        <w:t>Soweit der Beschwerdeführer im Dublin-Gespräch monierte, zur Abgabe der Fingerabdrücke gezwungen worden zu sein, gilt es sodann darauf hinzuweisen, dass die Abnahme der Fingerabdrücke von illegal einreisenden Ausländerinnen und Ausländern sich auf die Eurodac-Verordnung stützt und als legitim erweist (vgl. bspw. Urteil des BVGer F-3120/2022 vom 22. Juli 2022 E. 7.3 m.H.).</w:t>
      </w:r>
    </w:p>
    <w:p>
      <w:r>
        <w:rPr>
          <w:b/>
        </w:rPr>
        <w:t>E. 4.6</w:t>
      </w:r>
    </w:p>
    <w:p>
      <w:r>
        <w:t>Die grundsätzliche Zuständigkeit Kroatiens ist somit gegeben.</w:t>
      </w:r>
    </w:p>
    <w:p>
      <w:r>
        <w:rPr>
          <w:b/>
        </w:rPr>
        <w:t>E. 5.1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dortige Asylverfahren und die Aufnahmebedingungen systemische Schwachstellen im Sinne von Art. 3 Abs. 2 Sätze 2 und 3 Dublin-III-VO aufweisen würden, die eine Überstellung von Gesuchstellenden generell als unzulässig erscheinen liessen (vgl. a.a.O. E. 9.5). Das Gericht hielt in diesem Zusammenhang fest, der Verdacht eines - angesichts der Situation in Kroatien auf den ersten Blick nicht unbegründeten - Gefährdungszusammenhangs zwischen Push-backs und Dublin-Rückkehr lasse sich aufgrund der verfügbaren Informationen und Erkenntnisse nicht erhärten (vgl. a.a.O. E. 9.4.2 ff.). Aktuell bestünden keine genügenden Anzeichen, die befürchten liessen, Dublin-Rückkehrende würden ohne Eröffnung oder Weiterführung eines Asylverfahrens aus Kroatien rechtswidrig ausgeschafft. Insbesondere berechtige diese Ausgangslage nicht zur Annahme, dass solches systematisch geschehen würde. Im Ergebnis sei davon auszugehen, dass Gesuchstellende, welche gestützt auf die Dublin-III-VO nach Kroatien überstellt würden, Zugang zum dortigen Asylverfahren erhielten; dies unabhängig davon, ob die gesuchstellenden Personen im Rahmen eines Take-Charge- oder - wie vorliegend - im Take-Back-Verfahrens überstellt würden. Insbesondere bestehe keine beachtliche Wahrscheinlichkeit, die Überstellten würden der Gefahr einer Verletzung ihrer aus dem Refoulement-Verbot fliessenden Rechte ausgesetzt werden (vgl. a.a.O. E. 9.5). Zu diesen Schlussfolgerungen gelangte das Gericht in Kenntnis des in der Rechtsmitteleingabe zitierten Urteils des Verwaltungsgerichts Stuttgart vom 2. September 2022 (vgl. a.a.O. E. 9.4.2).</w:t>
      </w:r>
    </w:p>
    <w:p>
      <w:r>
        <w:rPr>
          <w:b/>
        </w:rPr>
        <w:t>E. 5.4</w:t>
      </w:r>
    </w:p>
    <w:p>
      <w:r>
        <w:t>Des Weiteren lassen die vom Beschwerdeführer bei seiner illegalen Einreise nach Kroatien geltend gemachten Vorkommnisse (im Regen stehen lassen; aggressives Verhalten von Polizisten; Schläge auf Bein; keine Abgabe von Wasser; unzureichende Verpflegung) nicht den Schluss zu, er hätte bei einer Überstellung nach Kroatien mit hoher Wahrscheinlichkeit eine unmenschliche oder erniedrigende Behandlung im Sinne von Art. 3 EMRK, Art. 3 FoK oder Art. 4 EU-Grundrechtecharta zu gewärtigen. Zum einen will sich der Betroffene seinen Schilderungen zufolge nur kurze Zeit in diesem Land aufgehalten haben, zum andern scheinen die geltend gemachten Erlebnisse, sofern sie auf tatsächlich Erlebtes hindeuten, im Zusammenhang mit seiner illegalen Einreise zu stehen. Bezüglich der Behandlung von Personen an der Grenze sieht sich Kroatien schon seit geraumer Zeit mit teils schweren Vorwürfen konfrontiert (vgl. a.a.O. E. 9.1 - 9.4.2 m.w.H.). Wohl erscheint nicht ausgeschlossen, dass auch im Landesinnern die Sicherheitskräfte nicht immer ein einwandfreies Verhalten an den Tag legen. Damit ist aber nichts zum vorliegend zu beurteilenden Umstand der Rückkehr des Beschwerdeführers nach Kroatien im Rahmen eines Take-Back-Verfahrens gesagt. Bei einer Überstellung nach Kroatien würde er auf legalem Weg in die Hauptstadt Zagreb überstellt. Er würde damit nicht mit einer Situation konfrontiert, wie er sie angeblich an der kroatischen Aussengrenze erlebt hat (vgl. bspw. Urteil des BVGer F-1924/2023 vom 13. April 2023 E. 6.4 m.H.). Gegen das Fehlverhalten von einzelnen Polizeibeamtinnen und Polizeibeamten könnte 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 2023 vom 12. April 2023 oder E-5614/2022 vom 19. Dezember 2022 E. 5.2).</w:t>
      </w:r>
    </w:p>
    <w:p>
      <w:r>
        <w:rPr>
          <w:b/>
        </w:rPr>
        <w:t>E. 5.5</w:t>
      </w:r>
    </w:p>
    <w:p>
      <w:r>
        <w:t>Unter diesen Umständen ist die Anwendung von Art. 3 Abs. 2 Dublin-III-VO - auch unter Berücksichtigung der in der Beschwerde erwähnten Quellen, in welchen das kroatische Asylwesen kritisiert wird (so ein Bericht der Schweizerischen Flüchtlingshilfe [SFH] vom 21. Februar 2023, mehrere Berichte von Human Rights Watch [HRW] sowie ein Bericht des Europäischen Komitees zur Verhütung von Folter und unmenschlicher oder erniedrigender Behandlung oder Strafe [CPT]) - nicht gerechtfertigt.</w:t>
      </w:r>
    </w:p>
    <w:p>
      <w:r>
        <w:rPr>
          <w:b/>
        </w:rPr>
        <w:t>E. 6</w:t>
      </w:r>
    </w:p>
    <w:p>
      <w:r>
        <w:t>Weiter ist der Frage nachzugehen, ob völkerrechtliche Vollzugshindernisse nach Art. 3 EMRK (oder einer anderen die Schweiz bindenden völkerrechtlichen Bestimmung) bestehen, woraus sich zwingende Gründe für einen Selbsteintritt nach Art. 17 Abs. 1 Dublin-III-VO respektive Art. 29a Abs. 3 der Asylverordnung 1 vom 11. August 1999 (AsylV 1, SR 142.311) ergeben würden.</w:t>
      </w:r>
    </w:p>
    <w:p>
      <w:r>
        <w:rPr>
          <w:b/>
        </w:rPr>
        <w:t>E. 6.1</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 Der Beschwerdeführer vermag jedoch kein konkretes und ernsthaftes Risiko darzutun, die kroatischen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6.2</w:t>
      </w:r>
    </w:p>
    <w:p>
      <w:r>
        <w:t>Die kroatischen Behörden haben der Aufnahme des Beschwerdeführers gestützt auf Art. 20 Abs. 5 Dublin-III-VO explizit zugestimmt und sich damit bereit erklärt, die Verantwortung für die Fortführung seines Asylverfahrens zu übernehmen (siehe SEM act. 16). Ausserdem hat der Betroffene nicht begründet dargetan, die ihn bei einer Rückführung erwartenden Bedingungen seien derart schlecht, dass sie zu einer Verletzung von Art. 4 der EU-Grundrechtecharta, Art. 3 EMRK oder Art. 3 Folterkonvention (SR 0.105) führen könnten. Bei einer allfälligen vorübergehenden Einschränkung könnte er sich nötigenfalls an die kroatischen Behörden wenden und die ihm zustehenden Aufnahmebedingungen auf dem Rechtsweg einfordern (Art. 26 Aufnahmerichtlinie).</w:t>
      </w:r>
    </w:p>
    <w:p>
      <w:r>
        <w:rPr>
          <w:b/>
        </w:rPr>
        <w:t>E. 6.3</w:t>
      </w:r>
    </w:p>
    <w:p>
      <w:r>
        <w:t>Nach dem Gesagten erweist sich die Rüge der unrichtigen und unvollständigen Sachverhaltsermittlung im Zusammenhang mit den völkerrechtlichen Verpflichtungen Kroatiens als nicht stichhaltig, weshalb das Even-tualbegehren auf Rückweisung der Sache zur Neubeurteilung abzuweisen ist.</w:t>
      </w:r>
    </w:p>
    <w:p>
      <w:r>
        <w:rPr>
          <w:b/>
        </w:rPr>
        <w:t>E. 6.4</w:t>
      </w:r>
    </w:p>
    <w:p>
      <w:r>
        <w:t>Was den medizinischen Sachverhalt anbelangt, so sind die gesundheitlichen Beeinträchtigungen des Beschwerdeführers (Schmerzen am Fuss aufgrund erlittener Schläge in Kroatien) längst nicht derart gravierend, dass in Anwendung von Art. 3 EMRK von einer Überstellung nach Kroatien abgesehen werden müsste (vgl. Urteil des EGMR Paposhvili gegen Belgien vom 13. Dezember 2016, Grosse Kammer, 41738/10, §§ 180-193 m.w.H.). Der Betroffene hat sich während seines Aufenthalts hierzulande bislang weder an medizinisches Personal gewandt noch sind medizinische Unterlagen aktenkundig. Kroatien verfügt grundsätzlich über eine ausreichende, hinreichend zugängliche medizinische Infrastruktur (vgl. Referenzurteil E-1488/2020 E. 10.2 und E. 10.3). Nötigenfalls kann der Beschwerdeführer dort die erforderliche Behandlung in Anspruch nehmen. Darüber hinaus trägt die Vorinstanz seinem aktuellen Gesundheitszustand bei der Organisation der Überstellung nach Kroatien Rechnung, indem sie die dortigen Behörden vor der Überstellung über seinen Zustand und eine allfällig notwendige medinische Behandlung informiert. Dies ist vorliegend geschehen, figuriert die einzig erkennbare Diagnose («postoperative Schmerzen am Fuss, welche aufgrund der erlittenen Schläge in Kroatien wieder aufkamen») doch in der Beschreibung der Überstellungsmodalitäten (SEM act. 17). Das SEM hat den medizinischen Sachverhalt mithin genügend abgeklärt und ist seiner Untersuchungspflicht diesbezüglich nachgekommen.</w:t>
      </w:r>
    </w:p>
    <w:p>
      <w:r>
        <w:rPr>
          <w:b/>
        </w:rPr>
        <w:t>E. 6.5</w:t>
      </w:r>
    </w:p>
    <w:p>
      <w:r>
        <w:t>Individuelle Garantien betreffend Unterkunft, Nahrung und Zugang zu adäquater medizinischer und psychologischer Versorgung sind von den kroatischen Behörden nach dem Gesagten keine einzuholen (vgl. Referenzurteil E-1488/2020 E. 12). Das entsprechende (Subeventual-)Begehren des Beschwerdeführers ist ebenfalls abzuweisen.</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Kroatien der für die Behandlung des Asylgesuches des Beschwerdeführers zuständige Mitgliedstaat gemäss Dublin-III-VO.</w:t>
      </w:r>
    </w:p>
    <w:p>
      <w:r>
        <w:rPr>
          <w:b/>
        </w:rPr>
        <w:t>E. 9</w:t>
      </w:r>
    </w:p>
    <w:p>
      <w:r>
        <w:t>Das SEM ist zu Recht in Anwendung von Art. 31a Abs. 1 Bst. b AsylG auf das Asylgesuch des Beschwerdeführers nicht eingetreten.</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3. Januar 2024 angeordnete Vollzugsstopp fällt mit vorliegendem Urteil dahin.</w:t>
      </w:r>
    </w:p>
    <w:p>
      <w:r>
        <w:rPr>
          <w:b/>
        </w:rPr>
        <w:t>E. 12</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