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F-1992/2026 vom 26. März 2026</w:t>
      </w:r>
    </w:p>
    <w:p>
      <w:r>
        <w:t>Bundesverwaltungsgericht, 2026-03-26, DE</w:t>
      </w:r>
    </w:p>
    <w:p>
      <w:r>
        <w:rPr>
          <w:b/>
        </w:rPr>
        <w:t xml:space="preserve">Quelle: </w:t>
      </w:r>
      <w:r>
        <w:t>https://mcp.opencaselaw.ch/entscheid/bvger_F-1992_2026</w:t>
      </w:r>
    </w:p>
    <w:p>
      <w:r>
        <w:t>FR: TAF F-1992/2026 du 26 mars 2026</w:t>
      </w:r>
    </w:p>
    <w:p>
      <w:r>
        <w:t>IT: TAF F-1992/2026 del 26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grundsätzlich Deutschland für die Behandlung des Asylgesuchs des Beschwerdeführers zuständig ist, dass das deutsche Asylsystem rechtsprechungsgemäss keine systemischen Mängel aufweist, aufgrund derer die Zuständigkeit gemäss Art. 3 Abs. 2 Dublin-III-VO auf die Schweiz überginge (vgl. zuletzt Urteil des BVGer F-1810/2026 vom 24. März 2026 E. 4.2), und dass vorliegend keine völkerrechtlichen Vollzugshindernisse ersichtlich sind, welche die Schweiz zu einem Selbsteintritt nach Art. 17 Abs. 1 Dublin-III-VO verpflichten würden. Sie hat in rechtsfehlerfreier Ausübung des ihr nach Art. 17 Abs. 1 Dublin-III-VO und Art. 29a Abs. 3 der Asylverordnung 1 vom 11. August 1999 (AsylV 1, SR 142.311) zukommenden Ermessens von einem Selbsteintritt der Schweiz abgesehen. Demnach ist sie zu Recht in Anwendung von Art. 31a Abs. 1 Bst. b AsylG auf das Asylgesuch des Beschwerdeführers nicht eingetreten und hat in Anwendung von Art. 44 AsylG seine Wegweisung nach Deutschland angeordnet. Zur näheren Begründung ist auf die Erwägungen der Vorinstanz zu verweisen.</w:t>
      </w:r>
    </w:p>
    <w:p>
      <w:r>
        <w:rPr>
          <w:b/>
        </w:rPr>
        <w:t>E. 2.2</w:t>
      </w:r>
    </w:p>
    <w:p>
      <w:r>
        <w:t>Die Vorbringen auf Beschwerdeebene vermögen an der Richtigkeit der angefochtenen Verfügung nichts zu ändern. Die vorgebrachten gesundheitlichen Probleme (Posttraumatische Belastungsstörung, Hernie) sind nicht derart gravierend, dass gestützt auf Art. 3 EMRK von einer Überstellung nach Deutschland abgesehen werden müsste (vgl. dazu Urteil des EGMR Paposhvili gegen Belgien vom 13. Dezember 2016, Grosse Kammer, 41738/10, §§ 180-193 m.w.H., bestätigt durch Urteil des EGMR Savran gegen Dänemark vom 7. Dezember 2021, Grosse Kammer, Nr. 57467/15, §§ 121 ff.). Weiterungen zur geltend gemachten Gefahr einer allfälligen Kettenabschiebung erübrigen sich in Verneinung systemischer Mängel im deutschen Asylsystem (siehe einlässlich dazu Urteil des EuGH vom 30. November 2023, verbundene Rechtssachen C-228/21, C-254/21, C297/21, C-315/21 und C-328/21, §§ 129-142 und Ziff. 2 des Dispositivs). Abschliessend ist der Beschwerdeführer darauf hinzuweisen, dass weder die Dublin-III-VO noch andere völkerrechtliche Bestimmungen den Ge-suchstellenden ein Recht einräumen, den für die Durchführung des Asylverfahrens zuständigen Staat selbst frei zu wählen (BVGE 2010/45 E. 8.3).</w:t>
      </w:r>
    </w:p>
    <w:p>
      <w:r>
        <w:rPr>
          <w:b/>
        </w:rPr>
        <w:t>E. 3</w:t>
      </w:r>
    </w:p>
    <w:p>
      <w:r>
        <w:t>Im Ergebnis ist die angefochtene Verfügung rechtmässig (Art. 106 AsylG). Die Beschwerde ist abzuweisen. Mit dem vorliegenden Urteil ist das Gesuch um Erteilung der aufschiebenden Wirkung gegenstandslos geworden und der am 20. März 2026 angeordnete Vollzugsstopp fällt dahin.</w:t>
      </w:r>
    </w:p>
    <w:p>
      <w:r>
        <w:rPr>
          <w:b/>
        </w:rPr>
        <w:t>E. 4</w:t>
      </w:r>
    </w:p>
    <w:p>
      <w:r>
        <w:t>Das Gesuch um Gewährung der unentgeltlichen Prozessführung (Art. 65 Abs. 1 VwVG) ist abzuweisen, da die Begehren gemäss den vorstehenden Erwägungen als von vornherein aussichtslos zu bezeichnen waren. Dem Verfahrensausgang entsprechend sind die Kosten dem unterliegenden Beschwerdeführer aufzuerlegen (Art. 63 Abs. 1 VwVG) und auf insgesamt Fr. 750.- festzusetzen (Art. 1-3 des Reglements vom 21. Februar 2008 über die Kosten und Entschädigungen vor dem Bundesverwaltungsgericht [VGKE, SR173.320.2]).</w:t>
      </w:r>
    </w:p>
    <w:p>
      <w:r>
        <w:rPr>
          <w:b/>
        </w:rPr>
        <w:t>E. 5</w:t>
      </w:r>
    </w:p>
    <w:p>
      <w:r>
        <w:t>Dieses Urteil ist endgültig (Art. 83 Bst. d Ziff. 1 BGG; vgl. Urteil des BGer 2C_697/2023 vom 28. Dezember 2023 E. 3).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