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F-1990/2022 vom 28. September 2022</w:t>
      </w:r>
    </w:p>
    <w:p>
      <w:r>
        <w:t>Bundesverwaltungsgericht, 2022-09-28, DE</w:t>
      </w:r>
    </w:p>
    <w:p>
      <w:r>
        <w:rPr>
          <w:b/>
        </w:rPr>
        <w:t xml:space="preserve">Quelle: </w:t>
      </w:r>
      <w:r>
        <w:t>https://mcp.opencaselaw.ch/entscheid/bvger_F-1990_2022</w:t>
      </w:r>
    </w:p>
    <w:p>
      <w:r>
        <w:t>FR: TAF F-1990/2022 du 28 septembre 2022</w:t>
      </w:r>
    </w:p>
    <w:p>
      <w:r>
        <w:t>IT: TAF F-1990/2022 del 28 settembre 2022</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angefochtenen Entscheid besonders berührt. Obwohl der ursprünglich angestrebte Besuchszeitraum inzwischen abgelaufen ist, muss auf ein fortbestehendes Rechtsschutzinteresse geschlossen werden. Dies belegt allein schon die Einreichung des Rechtsmittels. Der Beschwerdeführer ist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einer türkischen Staatsangehörigen um Erteilung eines Visums für die Schweiz zu Besuchszwecken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in Kraft seit dem 15. September 2018; vgl. auch Art. 2 Ziff. 6 SGK; Art. 5 Abs. 1 Bst. a AIG). Als türkische Staatsangehörige unterliegt die Gesuchstellerin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Art. 5 Abs. 2 AIG; BVGE 2014/1 E. 4.3 und 4.4).</w:t>
      </w:r>
    </w:p>
    <w:p>
      <w:r>
        <w:rPr>
          <w:b/>
        </w:rPr>
        <w:t>E. 4.3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Den Behörden kommt bei der Beurteilung, ob die Voraussetzungen für die Visumserteilung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VK; Art. 6 Abs. 5 Bst. c SGK).</w:t>
      </w:r>
    </w:p>
    <w:p>
      <w:r>
        <w:rPr>
          <w:b/>
        </w:rPr>
        <w:t>E. 5.1</w:t>
      </w:r>
    </w:p>
    <w:p>
      <w:r>
        <w:t>Aufgrund ihrer Staatszugehörigkeit unterliegt die Gesuchstellerin der Visumspflicht (vgl. E. 4.1). Bei der Prüfung der Einreisevoraussetzungen nach Art. 6 Abs. 1 SGK ist die Frage der gesicherten Wiederausreise zentral. Eine solche erachtete vorliegend sowohl die schweizerische Auslandvertretung wie auch das SEM aufgrund der allgemeinen Situation im Heimatland und der persönlichen Verhältnisse der eingeladenen Person als nicht genügend gewährleistet.</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und/oder sozial ungünstigen Verhältnissen rechtfertigt sich eine strenge Praxis, da die persönliche Interessenlage in solchen Fällen erfahrungsgemäss häufig nicht mit dem Ziel und Zweck einer zeitlich befristeten Einreisebewilligung im Einklang steht.</w:t>
      </w:r>
    </w:p>
    <w:p>
      <w:r>
        <w:rPr>
          <w:b/>
        </w:rPr>
        <w:t>E. 5.3</w:t>
      </w:r>
    </w:p>
    <w:p>
      <w:r>
        <w:t>Die Türkei befindet sich in einer wirtschaftlich schwierigen Lage, steigen doch die ohnehin schon hohen Verbraucherpreise weiter in die Höhe. Im Juni dieses Jahres erhöhten sie sich gegenüber dem Vorjahresmonat um 78,6 Prozent, wie das Statistikamt in Ankara mitteilte. Im Mai hatte die Inflationsrate bereits 73,5 Prozent betragen. Auf Monatssicht betrachtet stiegen die Verbraucherpreise somit im Juni um knapp fünf Prozent (vgl. Der Spiegel, Inflationsrate in der Türkei steigt auf fast 80 Prozent, 4. Juli 2022, https://www.spiegel.de/wirtschaft/unternehmen/tuerkei-inflation-bei-fast-80-prozent-a-3a15999d-443a-4443-baa3-aa8106b102f4). Weiterhin angespannt bleibt auch die innenpolitische Situation in der Türkei. Es ist keinesfalls auszuschliessen, dass terroristische Gruppierungen vor dem Hintergrund türkischer Militäraktionen in Syrien weiterhin versuchen werden, insbesondere in den grossen Metropolen Anschläge zu verüben. Die Sicherheitsvorkehrungen befinden sich landesweit auf hohem Niveau; vor allem in grossen Städten ist eine erhöhte Präsenz von Polizei und Sicherheitsbehörden sichtbar. Angesichts von Anschlägen terroristischer Gruppierungen - auch gegen nicht-militärische Ziele - muss in allen Teilen der Türkei grundsätzlich von einer terroristischen Gefährdung ausgegangen werden. Das Eidgenössische Departement für auswärtige Angelegenheiten (EDA) rät sogar ausdrücklich von touristischen und nicht dringenden Reisen in einige türkische Provinzen ab, darunter auch in die Provinz A._______, aus der die Gesuchstellerin stammt (SEM act. 3/39; vgl. zum Ganzen «www.auswaertiges-amt.de» Aussen- und Europapolitik Länder Türkei Reise- und Sicherheitshinweise, Stand: 8. September 2022; «www.eda.admin.ch» &gt; Reisehinweise &amp; Vertretungen &gt; Länderauswahl &gt; Türkiye &gt; Reisehinweise für Türkiye, publiziert am 20. Juni 2022, abgerufen je im September 2022).</w:t>
      </w:r>
    </w:p>
    <w:p>
      <w:r>
        <w:rPr>
          <w:b/>
        </w:rPr>
        <w:t>E. 5.4</w:t>
      </w:r>
    </w:p>
    <w:p>
      <w:r>
        <w:t>Vor diesem Hintergrund ist nicht zu beanstanden, dass die Vorinstanz das Risiko einer nicht fristgerechten Wiederausreise von Besucherinnen und Besuchern aus der Türkei als grundsätzlich sehr hoch einschätzt. Allerdings wäre es zu schematisch und nicht haltbar, generell und ohne spezifische Anhaltspunkte ausschliesslich aufgrund der allgemeinen Lage in der Herkunftsregion auf eine nicht hinreichend gesicherte Wiederausreise zu schliessen. Es gilt daher, nebst der Situation im Herkunftsland auch die weiteren Umstände zu würdigen. Dabei sind in die Prognose hinsichtlich der Absicht einer gesuchstellenden Person, den Schengen-Raum fristgerecht zu verlassen, deren persönliche, familiäre und berufliche bzw. wirtschaftliche Situation sowie deren Interessenlage miteinzubeziehen.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w:t>
      </w:r>
    </w:p>
    <w:p>
      <w:r>
        <w:rPr>
          <w:b/>
        </w:rPr>
        <w:t>E. 5.5</w:t>
      </w:r>
    </w:p>
    <w:p>
      <w:r>
        <w:t>Der Beschwerdeführer macht im vorinstanzlichen Verfahren zu den Lebensumständen der Gesuchstellerin in der Türkei geltend, seine Mutter sei Witwe und der Vater sei bereits vor langer Zeit verstorben; in der Türkei erhalte sie eine Rente. Sie lebe dort mit ihren jüngeren Kindern zusammen. Sie habe viele Enkelinnen und Enkel und lebe in A._______ als Eigentümerin im Haus der Familie des Beschwerdeführers. Ihr Lebensmittelpunkt sei in der Türkei (SEM act. 5/61-62). In der Rechtsmitteleingabe wird ausgeführt, die Mutter habe bei der Schweizer Vertretung erklärt, dass sie wirtschaftlich gut situiert sei und die Reise- und Aufenthaltskosten in der Schweiz selber übernehmen würde; diesbezüglich habe sie Dokumente eingereicht. Sie habe ausserdem in der Türkei fünf weitere Kinder und zehn Enkelkinder (BVGer act. 1). Einem der Beschwerde beigelegten Unterstützungsschreiben der Freundin eines Bruders des Beschwerdeführers ist zu entnehmen, dass der Grossteil der Kinder und Enkelkinder der Gesuchstellerin in der Türkei lebe; sie habe keinen Grund, ihr dortiges - in finanzieller, sozialer und familiärer Hinsicht abgesichertes - Leben aufzugeben.</w:t>
      </w:r>
    </w:p>
    <w:p>
      <w:r>
        <w:rPr>
          <w:b/>
        </w:rPr>
        <w:t>E. 5.6</w:t>
      </w:r>
    </w:p>
    <w:p>
      <w:r>
        <w:t>Eine gewisse familiäre Verwurzelung der 61-jährigen Gesuchstellerin in ihrem Heimatland ist aufgrund der dort lebenden Familienangehörigen nicht zu verneinen. Allerdings lassen die obgenannten Vorbringen nicht darauf schliessen, dass die Eingeladene in der Türkei über familiäre oder gesellschaftliche Verpflichtungen verfügt, welche ihre Präsenz in ihrem Heimatland zwingend erforderlich machen würde. Vor diesem Hintergrund gilt es, der wirtschaftlichen Verankerung der Gesuchstellerin in der Türkei besondere Aufmerksamkeit zu widmen.</w:t>
      </w:r>
    </w:p>
    <w:p>
      <w:r>
        <w:rPr>
          <w:b/>
        </w:rPr>
        <w:t>E. 5.7</w:t>
      </w:r>
    </w:p>
    <w:p>
      <w:r>
        <w:t>Sie soll gemäss Vorbringen des Gastgebers in der Türkei eine Rente erhalten. Über deren Höhe macht er selbst keine Angaben. Den vorinstanzlichen Akten ist eine Bestätigung der «Sosyal Güvenlik Kurumu» (SGK) vom 10. Dezember 2021 zu entnehmen, aus dieser - soweit ersichtlich - hervorgeht, dass die Gesuchstellerin eine monatliche Rente von TRY 666.16 (ca. CHF 36.03) bezieht (SEM act. 3/15). Aus den der Vertretung eingereichten Bankauszügen (SEM act. 3/19-20) ergeben sich wiederum monatliche Einzahlungen von TRY 1'294.70 (Juni 2021 [ca. CHF 70.02]) bzw. TRY 1'404.14 (Juli bis November 2021 [ca. CHF 75.93]). Beide Beträge lassen nicht darauf schliessen, die Gesuchstellerin könne damit ihren Lebensunterhalt ohne zusätzliche Einnahmen bestreiten. Im Hinblick auf die eingereichten Bankauszüge bleibt zudem offen, wie die dort verbuchten Guthaben zustande gekommen sind und ob es sich allenfalls um Unterstützungsleistungen handelt (SEM act. 3/19-20). Weiter wurden bezüglich des Wohneigentums weder Belege (Grundbuchauszüge) eingereicht noch nähere Angaben zu Art und Wert der Immobilie gemacht. Ohnehin gilt es zu bedenken, dass selbst Grundbesitz keine hinreichende Gewähr für eine fristgerechte und anstandslose Wiederausreise der Gesuchstellerin bietet, da im Fall einer Migration solche Vermögenswerte nicht verloren gehen würden (vgl. Urteil des BVGer F-4758/2018 vom 14. April 2020 E. 6.3.2 m.H.). Schliesslich gilt es darauf hinzuweisen, dass die Gesuchstellerin - entgegen den beschwerdeweisen Ausführungen - im Antrag auf Erteilung eines Schengen-Visums angab, die Reisekosten und die Lebenshaltungskosten würden vom Gastgeber getragen (SEM act. 3/37; vgl. auch act. 5/62). Die Aktenlage lässt damit nicht den Schluss zu, die Gesuchstellerin lebe in der Türkei in wirtschaftlich günstigen oder privilegierten Verhältnissen.</w:t>
      </w:r>
    </w:p>
    <w:p>
      <w:r>
        <w:rPr>
          <w:b/>
        </w:rPr>
        <w:t>E. 5.8</w:t>
      </w:r>
    </w:p>
    <w:p>
      <w:r>
        <w:t>Vor diesem Hintergrund ist nicht von besonderen, im Heimatland bestehenden Verpflichtungen und von wirtschaftlichen Verhältnissen auszugehen, die Gewähr für eine Wiederausreise nach Ablauf des Visums bieten. Nicht ausser Acht gelassen werden kann zudem, dass die Gesuchstellerin in der Schweiz ebenfalls über ein grosses familiäres Beziehungsnetz verfügt, leben doch vier ihrer Kinder hier.</w:t>
      </w:r>
    </w:p>
    <w:p>
      <w:r>
        <w:rPr>
          <w:b/>
        </w:rPr>
        <w:t>E. 5.9</w:t>
      </w:r>
    </w:p>
    <w:p>
      <w:r>
        <w:t>An der Richtigkeit dieser Einschätzung ändert auch die Tatsache nichts, dass der Beschwerdeführer mit der gegenüber der kantonalen Migrationsbehörde abgegebenen Verpflichtungserklärung (SEM act. 5/58) sein Vertrauen in ein rechtskonformes Verhalten seines Gastes zum Ausdruck gebracht hat bzw. dass die Freundin des Bruders die Verantwortung für eine fristgerechte Ausreise der Gesuchstellerin übernehmen möchte (vgl. Beschwerdebeilage 1).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w:t>
      </w:r>
    </w:p>
    <w:p>
      <w:r>
        <w:rPr>
          <w:b/>
        </w:rPr>
        <w:t>E. 6.1</w:t>
      </w:r>
    </w:p>
    <w:p>
      <w:r>
        <w:t>Gemäss Art. 25 Abs. 1 VK kann, wie bereits erwähnt (E. 4.5), ausnahmsweise ein Visum mit räumlich beschränkter Gültigkeit erteilt werden. Demnach steht das Vorliegen begründeter Zweifel an der Rückkehrabsicht der Erteilung eines Visums mit räumlich beschränkter Gültigkeit nicht entgegen, wenn es der betreffende Mitgliedstaat etwa wegen besonderen familiären Bindungen für erforderlich hält, vom Vorliegen der Einreisevoraussetzungen abzuweichen. Die Voraussetzungen dafür sind hingegen nicht leichthin anzunehmen. Namentlich ist dem Umstand angemessen Rechnung zu tragen, dass die Erteilung eines Visums mit räumlich beschränkter Geltung nicht nur eigene Interessen berührt, sondern infolge des Wegfalles der Personenkontrollen an den Innengrenzen des Schengen-Raums auch die Interessen der übrigen Schengen-Staaten beeinträchtigen kann (vgl. BVGE 2011/48 E. 6.1).</w:t>
      </w:r>
    </w:p>
    <w:p>
      <w:r>
        <w:rPr>
          <w:b/>
        </w:rPr>
        <w:t>E. 6.2</w:t>
      </w:r>
    </w:p>
    <w:p>
      <w:r>
        <w:t>Der Beschwerdeführer beruft sich sinngemäss auf den in Art. 8 EMRK statuierten Schutz des Familien- und Privatlebens, indem er in diesem Zusammenhang vorbringt, er sei ein in der Schweiz anerkannter Flüchtling und habe seine Mutter seit über 12 Jahren nicht mehr gesehen. Auch seine drei Brüder - ebenfalls anerkannte Flüchtlinge - hätten keine Möglichkeit, die Mutter in der Türkei zu besuchen (SEM act. 3/34).</w:t>
      </w:r>
    </w:p>
    <w:p>
      <w:r>
        <w:rPr>
          <w:b/>
        </w:rPr>
        <w:t>E. 6.3</w:t>
      </w:r>
    </w:p>
    <w:p>
      <w:r>
        <w:t>Art. 8 EMRK und der inhaltlich deckungsgleiche Art. 13 Abs. 1 BV schützen das Familienleben als solches und insbesondere die Kernfamilie (BGE 144 I 266 E. 3.3; 135 I 143 E. 3.1). Bei hinreichender Intensität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affektiven Bindungen hinausgehendes Abhängigkeitsverhältnis besteht (BGE 144 II 1 E. 6.1; 137 I 154 E. 3.4.2). Die Frage, ob ein solches besteht, kann vorliegend jedoch offengelassen werden, liegt doch in der Regel kein Eingriff in den Schutzbereich des Familienlebens vor, wenn den Beteiligten zugemutet werden kann, das Familienleben beziehungsweise familiäre Kontakte ausserhalb der Schweiz zu pflegen (BGE 144 II 1 E. 6.1; 143 I 21 E. 5.1). Dem Beschwerdeführer und seinen Brüdern ist zwar aufgrund ihrer Anerkennung als Flüchtlinge ein Besuch ihrer Mutter in der Türkei nicht möglich. Jedoch ist ihnen zuzumuten, den Kontakt zu ihr auf andere Weise zu pflegen, als durch einen persönlichen Besuch in der Schweiz (Telefon, Skype usw.). Auch wäre es dem Beschwerdeführer und seinen Brüdern (als anerkannte Flüchtlinge und Inhaber einer Niederlassungs- bzw. Aufenthaltsbewilligung [SEM act. 3/28-34]; vgl. Art. 59 Abs. 2 Bst. a AIG) grundsätzlich möglich, ihre Mutter in einem Drittstaat zu treffen (Urteile des BVGer F-3660/2017 vom 22. Januar 2018 E. 7, F-1508/2017 vom 23. Juni 2017 E. 7.4, C-879/2012 vom 11. Juni 2013 E. 9.3). Zwar verfügt der Beschwerdeführer, anders als seine Brüder (vgl. BVGer act. 8), zur Zeit nicht über einen schweizerischen Reiseausweis, dies ist ihm jedoch selbst zuzurechnen (vgl. Dossier «Schweizerische Reisedokumente» und Dossier «Prüfung Asylwiderruf» der Vorinstanz). Es steht ihm jedoch offen, zu gegebener Zeit ein neues Reisedokument zu beantragen. Demzufolge bestehen keine Gründe, die es erlauben würden, der Gesuchstellerin ein humanitäres Visum mit räumlich beschränkter Gültigkeit auszustellen.</w:t>
      </w:r>
    </w:p>
    <w:p>
      <w:r>
        <w:rPr>
          <w:b/>
        </w:rPr>
        <w:t>E. 7</w:t>
      </w:r>
    </w:p>
    <w:p>
      <w:r>
        <w:t>Aus diesen Darlegungen folgt, dass die angefochtene Verfügung im Lichte von Art. 49 VwVG nicht zu beanstanden ist.</w:t>
      </w:r>
    </w:p>
    <w:p>
      <w:r>
        <w:rPr>
          <w:b/>
        </w:rPr>
        <w:t>E. 8</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