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F-1975/2023 vom 20. April 2023</w:t>
      </w:r>
    </w:p>
    <w:p>
      <w:r>
        <w:t>Bundesverwaltungsgericht, 2023-04-20, FR</w:t>
      </w:r>
    </w:p>
    <w:p>
      <w:r>
        <w:rPr>
          <w:b/>
        </w:rPr>
        <w:t xml:space="preserve">Quelle: </w:t>
      </w:r>
      <w:r>
        <w:t>https://mcp.opencaselaw.ch/entscheid/bvger_F-1975_2023</w:t>
      </w:r>
    </w:p>
    <w:p>
      <w:r>
        <w:t>FR: TAF F-1975/2023 du 20 avril 2023</w:t>
      </w:r>
    </w:p>
    <w:p>
      <w:r>
        <w:t>IT: TAF F-1975/2023 del 20 aprile 2023</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Saisi d'un recours contre une décision de non-entrée en matière sur une demande d'asile, le Tribunal se limite à examiner le bien-fondé d'une telle décision (ATAF 2017 VI/5 consid. 3.1). A moins que la LAsi n'en dispose autrement, la procédure devant le Tribunal est régie par la PA et la LTAF (art. 6 LAsi et art. 37 LTAF). Le recourant a qualité pour recourir (art. 48 al. 1 PA, applicable par renvoi de l'art. 37 LTAF). En outre, présenté dans la forme exigée (art. 52 al. 1 PA) et réputé avoir été déposé dans le délai prescrit par la loi (art. 108 al. 3 LAsi et art. 21 al. 2 PA), son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 ; ATAF 2012/4 consid. 3.2).</w:t>
      </w:r>
    </w:p>
    <w:p>
      <w:r>
        <w:rPr>
          <w:b/>
        </w:rPr>
        <w:t>E. 3.3</w:t>
      </w:r>
    </w:p>
    <w:p>
      <w:r>
        <w:t>En vertu de l'art. 12 par. 4 du règlement Dublin III, en relation avec l'art. 12 par. 2 du règlement Dublin III,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 8 du règlement (CE) no 810/2009 du Parlement européen et du Conseil du 13 juillet 2009 établissant un code communautaire de visas et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3.4</w:t>
      </w:r>
    </w:p>
    <w:p>
      <w:r>
        <w:t>Ainsi qu'il ressort des investigations entreprises le 6 janvier 2023 par le SEM dans la base de données CS-VIS, le recourant s'est vu délivrer à Santiago du Chili un visa Schengen de type C par les autorités françaises. Le 8 novembre 2022, l'intéressé est entré dans le territoire des Etats membres par l'Espagne. Fondé sur ces constats, le SEM a formulé une demande de prise en charge au sens de l'art. 12 par. 4 du règlement Dublin III auprès desdites autorités, le 30 janvier 2023, soit dans le délai de deux mois à compter de la consultation de la base de données prévu à l'art. 21 par. 1 du règlement Dublin III. Le 31 mars 2023, le SEM a informé la France qu'en l'absence de réponse dans le délai de deux mois prévu à l'art. 22 par. 1 du règlement Dublin III que, forclose, elle devait être considérée comme l'Etat responsable pour la procédure d'asile de A._______. Dans la décision entreprise, l'autorité inférieure a par ailleurs constaté que la réponse reçue de la France le 31 mars 2023 - et datée du 30 mars 2023 - était tardive. Force est de constater qu'ici, le SEM a fait une mauvaise application du règlement Dublin III qui n'a toutefois aucune conséquence sur l'issue de l'affaire, la France étant quoi qu'il en soit l'Etat responsable du traitement de la demande d'asile. En effet, conformément à l'art. 42 let. a du règlement Dublin III, si un délai exprimé en mois, comme c'est le cas de l'art. 22 par. 1 du règlement Dublin III, est à compter à partir du moment où s'effectue un acte, en l'occurrence la requête du 30 janvier 2023, le jour au cours duquel se situe cet acte n'est pas compté dans le délai, de sorte que le délai de réponse de la France arrivait à échéance le 31 mars 2023 (cf. art. 42 let. b phr. 1 du règlement Dublin III) et non le 30 mars 2023. La France a ainsi reconnu explicitement sa compétence pour mener la procédure d'asile de l'intéressé, responsabilité que le recourant ne conteste par ailleurs pas en tant que telle.</w:t>
      </w:r>
    </w:p>
    <w:p>
      <w:r>
        <w:rPr>
          <w:b/>
        </w:rPr>
        <w:t>E. 4</w:t>
      </w:r>
    </w:p>
    <w:p>
      <w:r>
        <w:t>Dans son mémoire de recours et au cours de son entretien individuel, l'intéressé a, cela dit, indiqué ne pas souhaiter se rendre en France en raison des conditions que connaîtraient les migrants dans ce pays, indiquant notamment, au stade du recours seulement, avoir été frappé au genou par un policier lorsqu'il était à terre.</w:t>
      </w:r>
    </w:p>
    <w:p>
      <w:r>
        <w:rPr>
          <w:b/>
        </w:rPr>
        <w:t>E. 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5.1</w:t>
      </w:r>
    </w:p>
    <w:p>
      <w:r>
        <w:t>Il convient de rappeler que la France est liée à cette CharteUE et est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De jurisprudence constante, le Tribunal a retenu qu'il ne pouvait être conclu à l'existence de défaillances systémiques dans la procédure d'asile et le système d'accueil en France et que l'application de l'art. 3 par. 2 al. 2 du règlement Dublin III ne se justifiait dès lors pas dans ce contexte (arrêts du TAF E-3926/2022 du 20 septembre 2022 consid. 5.2, F-3215/2022 du 29 juillet 2022, F-1772/2022 du 20 avril 2022, F-4038/2021 du 15 septembre 2021 consid. 4.3). En particulier, le recourant n'a fourni aucun élément concret susceptible de renverser la présomption de sécurité susmentionnée, ses critiques concernant le traitement réservé aux migrants par les autorités françaises ne contenant aucune substance matérielle et le mauvais traitement qu'il allègue avoir subi par un représentant des forces de l'ordre étant loin d'atteindre un seuil permettant d'imaginer des défaillances systématiques ou une violation de l'interdiction de traitements inhumains et dégradants (cf. art. 3 CEDH). Il n'a pas non plus fait état d'éléments à même de démontrer que la France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w:t>
      </w:r>
    </w:p>
    <w:p>
      <w:r>
        <w:rPr>
          <w:b/>
        </w:rPr>
        <w:t>E. 5.3</w:t>
      </w:r>
    </w:p>
    <w:p>
      <w:r>
        <w:t>Il sied enfin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ATAF 2010/45 consid. 8.3).</w:t>
      </w:r>
    </w:p>
    <w:p>
      <w:r>
        <w:rPr>
          <w:b/>
        </w:rPr>
        <w:t>E. 5.4</w:t>
      </w:r>
    </w:p>
    <w:p>
      <w:r>
        <w:t>Partant, l'application de l'art. 3 par. 2 al. 2 du règlement Dublin III ne se justifie pas en l'espèce. Cela étant, si l'intéressé devait, à l'issue de son transfert en France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leurs droits fondamentaux, il lui appartiendrait de faire valoir ses droits directement auprès des autorités de ce pays en usant des voies de droit adéquates (arrêt du TAF F-7130/2017 du 28 mai 2018 consid. 5).</w:t>
      </w:r>
    </w:p>
    <w:p>
      <w:r>
        <w:rPr>
          <w:b/>
        </w:rPr>
        <w:t>E. 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(cf. ATAF 2015/9 consid. 8) pour des raisons humanitaires au sens de l'art. 29a al. 3 OA 1 (RS 142.311). Or, en l'espèce, aucun élément du dossier ne permet de considérer que le transfert du recourant vers la France violerait les obligations de la Suisse issues du droit international ou qu'il existe des raisons humanitaires pour que la responsabilité de traiter sa demande d'asile échoit à ce dernier pays. En particulier, l'intéressé n'a pas fait état de relations étroites, relevant du domaine de l'art. 8 CEDH, avec une personne en Suisse et ne présente pas non plus de problèmes de santé incompatibles avec un transfert vers la France. En outre, le recourant n'a ni démontré ni même rendu vraisemblable que ses conditions d'existence en France revêtiraient un tel degré de pénibilité et de gravité qu'elles seraient constitutives d'un traitement contraire à l'art. 3 CEDH ou encore à l'art. 3 Conv. torture, les critiques qu'il a émises à cet égard se limitant à de simples allégations et n'atteignant de surcroît pas un degré de gravité indiquant qu'il faille que le Tribunal s'y arrête.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La motivation de la décision du SEM, comprenant une pesée des intérêts, est fondée en fait et en droit, y compris au regard du principe de la proportionnalité.</w:t>
      </w:r>
    </w:p>
    <w:p>
      <w:r>
        <w:rPr>
          <w:b/>
        </w:rPr>
        <w:t>E. 7</w:t>
      </w:r>
    </w:p>
    <w:p>
      <w:r>
        <w:t>Au regard de l'ensemble des éléments qui précèdent, c'est à bon droit que le SEM n'est pas entré en matière sur les demandes d'asile des intéressées, en application de l'art. 31a al. 1 let. b LAsi, et qu'il a prononcé leur transfert vers l'Italie conformément à l'art. 44 phr. 1 LAsi, étant précisé qu'aucune exception à la règle générale du renvoi n'est réalisée (cf. art. 32 OA 1). Le recours est, par conséquent, rejeté. S'avérant manifestement infondé, il est rejeté dans une procédure à juge unique avec l'approbation d'une seconde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Pour le même motif, les mesures superprovisionnelles prononcées par ordonnances du 13 avril 2023 sont caduques.</w:t>
      </w:r>
    </w:p>
    <w:p>
      <w:r>
        <w:rPr>
          <w:b/>
        </w:rPr>
        <w:t>E. 8</w:t>
      </w:r>
    </w:p>
    <w:p>
      <w:r>
        <w:t>Les conclusions du recours étant d'emblée vouées à l'échec, la requête d'assistance judiciaire totale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