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F-1973/2021 vom 6. Februar 2023</w:t>
      </w:r>
    </w:p>
    <w:p>
      <w:r>
        <w:t>Bundesverwaltungsgericht, 2023-02-06, FR</w:t>
      </w:r>
    </w:p>
    <w:p>
      <w:r>
        <w:rPr>
          <w:b/>
        </w:rPr>
        <w:t xml:space="preserve">Quelle: </w:t>
      </w:r>
      <w:r>
        <w:t>https://mcp.opencaselaw.ch/entscheid/bvger_F-1973_2021</w:t>
      </w:r>
    </w:p>
    <w:p>
      <w:r>
        <w:t>FR: TAF F-1973/2021 du 6 février 2023</w:t>
      </w:r>
    </w:p>
    <w:p>
      <w:r>
        <w:t>IT: TAF F-1973/2021 del 6 febbraio 2023</w:t>
      </w:r>
    </w:p>
    <w:p>
      <w:pPr>
        <w:pStyle w:val="Heading2"/>
      </w:pPr>
      <w:r>
        <w:t>Regeste</w:t>
      </w:r>
    </w:p>
    <w:p>
      <w:r>
        <w:t>Assistance administrative</w:t>
      </w:r>
    </w:p>
    <w:p>
      <w:pPr>
        <w:pStyle w:val="Heading2"/>
      </w:pPr>
      <w:r>
        <w:t>Erwägungen</w:t>
      </w:r>
    </w:p>
    <w:p>
      <w:r>
        <w:rPr>
          <w:b/>
        </w:rPr>
        <w:t>E. 7.1</w:t>
      </w:r>
    </w:p>
    <w:p>
      <w:r>
        <w:t>Pour ce qui est des conditions de fond, les recourants reprochent tout d'abord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leur grief, les recourants avancent que la demande du 11 mai 2016 reposerait sur une infraction punissable au regard du droit suisse, soit l'espionnage économique - c'est-à-dire l'achat illégal par le Land allemand de Rhénanie du Nord-Westphalie d'un CD de données -, et violerait dès lors la disposition précitée sans qu'il n'y ait à établir un quelconque lien de causalité entre cet acte répréhensible et l'obtention par la France des données en question. En tout état de cause, il existerait, selon eux, un tel lien de causalité dès lors que, sans l'achat dudit CD, aucune perquisition n'aurait pu avoir lieu et les données fondant la requête litigieuse n'auraient pas été découvertes. Par ailleurs, les intéressés soutiennent que rien ne permet d'affirmer que la France n'était pas consciente de la provenance illicite de ces informations, respectivement que l'Allemagne ne l'en avait pas informée.</w:t>
      </w:r>
    </w:p>
    <w:p>
      <w:r>
        <w:rPr>
          <w:b/>
        </w:rPr>
        <w:t>E. 7.2</w:t>
      </w:r>
    </w:p>
    <w:p>
      <w:r>
        <w:t>A titre liminaire, la Cour de céans relève qu'il ressort de l'état de fait de la requête qu'une enquête diligentée par le parquet de Bochum et des visites domiciliaires effectuées dans les succursales allemandes de la banque C._______ en mai 2012 et juillet 2013 ont abouti à la saisie de données concernant des contribuables français liés à des comptes ouverts auprès de la banque C._______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la banque C._______ à Francfort. Le serveur de sauvegarde comprenait des sauvegardes des ordinateurs des employés de la banque C._______,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C._______ dans le cadre de cette enquête, le Land allemand de Rhénanie du Nord-Westphalie aurait acheté en août 2012 un CD de données contenant les informations sur des clients enregistrés auprès de la banque C._______ en Suisse. Sur la base de ce CD de données, les autorités allemandes auraient mené des enquêtes contre de nombreux clients allemands de la banque C._______. C'est dans le cadre de ces enquêtes que le parquet de Bochum aurait procédé à diverses perquisitions au siège de la banque C._______ à Francfort et auprès d'autres sites de la banque C._______ en Allemagne. Lors de la perquisition au siège de la banque C._______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C._______ dans le cadre de la présente procédure d'assistance administrative (cf. décision finale de l'AFC, ch. 6.4).</w:t>
      </w:r>
    </w:p>
    <w:p>
      <w:r>
        <w:rPr>
          <w:b/>
        </w:rPr>
        <w:t>E. 7.3</w:t>
      </w:r>
    </w:p>
    <w:p>
      <w:r>
        <w:t>Sur la base des faits tels que décrits ci-avant, il convient d'examiner si la demande litigieuse repose sur des données volées comme l'allèguent les recourants.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considérants ci-après.</w:t>
      </w:r>
    </w:p>
    <w:p>
      <w:r>
        <w:rPr>
          <w:b/>
        </w:rPr>
        <w:t>E. 7.3.1</w:t>
      </w:r>
    </w:p>
    <w:p>
      <w:r>
        <w:t>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de la banque C._______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les recourants ne le soutiennent à juste titre pas.</w:t>
      </w:r>
    </w:p>
    <w:p>
      <w:r>
        <w:rPr>
          <w:b/>
        </w:rPr>
        <w:t>E. 7.3.2</w:t>
      </w:r>
    </w:p>
    <w:p>
      <w:r>
        <w:t>Par ailleurs, la jurisprudence du Tribunal fédéral a certes mentionné l'existence d'un lien de causalité entre les données prétendument volées et la demande d'assistance administrative, dont se prévalent les recourants, comme critère permettant de démontrer l'absence de bonne foi de l'Etat requérant, lorsque celui-ci s'est engagé à ne pas former de demande sur la base de telles données. Toutefois,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C._______,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w:t>
      </w:r>
    </w:p>
    <w:p>
      <w:r>
        <w:rPr>
          <w:b/>
        </w:rPr>
        <w:t>E. 7.3.3</w:t>
      </w:r>
    </w:p>
    <w:p>
      <w:r>
        <w:t>Au demeurant, et contrairement à ce que soutiennent les recourants, force est de rappeler que le principe de la bonne foi entre Etats n'est pas violé du simple fait que la demande d'assistance est fondée sur des données d'origine illicite et que la bonne foi d'un Etat est présumée dans les relations internationales, ce qui implique que la Suisse ne saurait, en principe, mettre en doute les allégations de la France, à moins d'un doute sérieux (cf. consid. 4.4.2 et 4.4.3 ci-dessus).</w:t>
      </w:r>
    </w:p>
    <w:p>
      <w:r>
        <w:rPr>
          <w:b/>
        </w:rPr>
        <w:t>E. 7.4</w:t>
      </w:r>
    </w:p>
    <w:p>
      <w:r>
        <w:t>Partant, le grief tiré de la violation du principe de la bonne foi en lien avec l'utilisation de données volées doit être rejeté.</w:t>
      </w:r>
    </w:p>
    <w:p>
      <w:r>
        <w:rPr>
          <w:b/>
        </w:rPr>
        <w:t>E. 8.1</w:t>
      </w:r>
    </w:p>
    <w:p>
      <w:r>
        <w:t>Au moyen d'un second grief soulevé en cours de procédure de recours, les intéressés arguent que les informations bancaires relatives aux années 2010, 2011 et 2012 doivent être exclues de l'assistance administrative, dans l'hypothèse où celle-ci serait accordée en l'espèce. Ils allèguent que, dans la mesure où certaines informations que l'autorité inférieure prévoit de transmettre à la DGFiP concernent les années 2010 à 2012, la prescription décennale est atteinte en vertu du droit français. Ces renseignements ne rempliraient donc pas la condition de la pertinence vraisemblable.</w:t>
      </w:r>
    </w:p>
    <w:p>
      <w:r>
        <w:rPr>
          <w:b/>
        </w:rPr>
        <w:t>E. 8.2</w:t>
      </w:r>
    </w:p>
    <w:p>
      <w:r>
        <w:t>La Cour de céans relève que le grief soulevé par les recourants concerne la procédure interne menée dans l'Etat requérant. La procédure d'assistance ne tranche pas matériellement l'affaire ; il appartient à chaque Etat d'interpréter sa propre législation et de contrôler la manière dont celle-ci est appliquée (cf. arrêts du TF 2C_662/2021 et 2C_663/2021 du 18 mars 2022 consid. 5.4.1 s., 5.5 et 5.5.3 ainsi que les références citées ; 2C_1162/2016 du 4 octobre 2017 consid. 6.4 ; arrêt du TAF A-1944/2017 du 8 août 2018 consid. 3.3.6.2 ; cf. aussi arrêts du TAF A-4669/2016 du 8 décembre 2017 consid. 2.7 ; A-4025/2016 du 2 mai 2017 consid. 3.2.6 avec les nombreuses références citées). Or, déterminer si les impôts dus pour les périodes fiscales 2010, 2011 et 2012 sont prescrits ou non est une question de fond qui devra être invoquée devant les autorités françaises compétentes, puis tranchée par celles-ci. En effet, ni l'AFC ni le TAF n'ont à examiner des objections liées au bien-fondé de la procédure fiscale conduite à l'étranger, ni à s'interroger sur d'éventuels obstacles - comme une éventuelle prescription - qui, en application du droit interne de l'Etat requérant, empêcheraient l'utilisation des renseignements obtenus. Au demeurant, il sied de rappeler que, dans l'appréciation de la pertinence vraisemblable des informations demandées, le rôle de l'Etat requis se limite à un contrôle de la plausibilité (cf. supra, consid. 4.3).</w:t>
      </w:r>
    </w:p>
    <w:p>
      <w:r>
        <w:rPr>
          <w:b/>
        </w:rPr>
        <w:t>E. 8.3</w:t>
      </w:r>
    </w:p>
    <w:p>
      <w:r>
        <w:t>Partant, il n'incombe pas à la Suisse de se déterminer sur une éventuelle prescription des impôts concernant les années 2010 à 2012. Il appartient en revanche aux recourants de faire valoir cet argument devant les autorités compétentes de l'Etat requérant. Leur grief est donc écarté.</w:t>
      </w:r>
    </w:p>
    <w:p>
      <w:r>
        <w:rPr>
          <w:b/>
        </w:rPr>
        <w:t>E. 9.1</w:t>
      </w:r>
    </w:p>
    <w:p>
      <w:r>
        <w:t>Vu les considérants qui précèdent, les recours sont rejetés, dans la mesure de leur recevabilité. Les recourants, qui succombent, doivent supporter les frais de procédure, lesquels se montent, compte tenu de la charge de travail liée à la procédure, à 5'000 francs (art. 63 al. 1 PA et art. 4 du règlement du 21 février 2008 concernant les frais, dépens et indemnités fixés par le TAF [FITAF, RS 173.320.2]). Ils seront prélevés sur l'avance de frais déjà versée d'un même montant.</w:t>
      </w:r>
    </w:p>
    <w:p>
      <w:r>
        <w:rPr>
          <w:b/>
        </w:rPr>
        <w:t>E. 9.2</w:t>
      </w:r>
    </w:p>
    <w:p>
      <w:r>
        <w:t>Vu l'issue de la cause, il n'est pas alloué de dépens (art. 64 al. 1 PA a contrario et art. 7 al. 1 FITAF a contrario).</w:t>
      </w:r>
    </w:p>
    <w:p>
      <w:r>
        <w:rPr>
          <w:b/>
        </w:rPr>
        <w:t>E. 10</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