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F-1952/2025 vom 28. Mai 2025</w:t>
      </w:r>
    </w:p>
    <w:p>
      <w:r>
        <w:t>Bundesverwaltungsgericht, 2025-05-28, DE</w:t>
      </w:r>
    </w:p>
    <w:p>
      <w:r>
        <w:rPr>
          <w:b/>
        </w:rPr>
        <w:t xml:space="preserve">Quelle: </w:t>
      </w:r>
      <w:r>
        <w:t>https://mcp.opencaselaw.ch/entscheid/bvger_F-1952_2025</w:t>
      </w:r>
    </w:p>
    <w:p>
      <w:r>
        <w:t>FR: TAF F-1952/2025 du 28 mai 2025</w:t>
      </w:r>
    </w:p>
    <w:p>
      <w:r>
        <w:t>IT: TAF F-1952/2025 del 28 maggio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Der Beschwerdeführer ist zur Beschwerde legitimiert (Art. 48 Abs. 1 VwVG). Auf die frist- und formgerecht eingereichte Beschwerde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w:t>
      </w:r>
    </w:p>
    <w:p>
      <w:r>
        <w:t>F-1952/2025 Seite 3 heblichen Sachverhalts und, im Falle von Bundesbehörden, die Unange- messenheit gerügt werden (vgl. Art. 49 VwVG). Das Bundesverwaltungs- gericht wendet im Beschwerdeverfahren das Bundesrecht von Amtes we- gen an und ist nicht an die Begründung der Begehren gebunden (Art. 62 Abs. 4 VwVG). Massgeblich ist grundsätzlich die Sachlage im Entscheid- zeitpunkt (BGE 139 II 534 E. 5.4.1; BVGE 2020 VII/4 E. 2.2 m.H.).</w:t>
      </w:r>
    </w:p>
    <w:p>
      <w:r>
        <w:rPr>
          <w:b/>
        </w:rPr>
        <w:t>E. 2.2</w:t>
      </w:r>
    </w:p>
    <w:p>
      <w:r>
        <w:t>Die Beschwerde erweist sich als offensichtlich unbegründet, weshalb gestützt auf Art. 57 Abs. 1 VwVG kein Schriftenwechsel durchgeführt wurde.</w:t>
      </w:r>
    </w:p>
    <w:p>
      <w:r>
        <w:rPr>
          <w:b/>
        </w:rPr>
        <w:t>E. 3.1</w:t>
      </w:r>
    </w:p>
    <w:p>
      <w:r>
        <w:t>Der angefochtenen Verfügung liegt ein Gesuch eines indischen Staats- angehörigen um Erteilung eines Visums zu Besuchszwecken in der Schweiz zugrunde. Da sich der Gesuchsteller als Drittstaatsangehöriger nicht auf die EU/EFTA-Personenfreizügigkeitsabkommen berufen kann und die beabsichtigte Aufenthaltsdauer 90 Tage nicht überschreitet, fällt die vorliegende Streitsache in den Anwendungsbereich der Schengen-Assozi- ierungsabkommen, mit denen die Schweiz den Schengen-Besitzstand so- wie die dazugehörigen gemeinschaftsrechtlichen Rechtsakte übernommen hat (BVGE 2014/1 E. 3; 2011/48 E. 3). Das AIG und dessen Ausführungs- bestimmungen gelangen nur soweit zur Anwendung, als die Schengen-As- 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w:t>
      </w:r>
    </w:p>
    <w:p>
      <w:r>
        <w:t>F-1952/2025 Seite 4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Gemeinschaftskodex für das Über- schreiten der Grenzen durch Personen [Schengener Grenzkodex, SGK, ABl. L 77/1 vom 23. Juni 2016]; Art. 14 Abs. 1 und Art. 21 Abs. 1 der Ver- 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F-1952/2025 Seite 5</w:t>
      </w:r>
    </w:p>
    <w:p>
      <w:r>
        <w:rPr>
          <w:b/>
        </w:rPr>
        <w:t>E. 3.5</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w:t>
      </w:r>
    </w:p>
    <w:p>
      <w:r>
        <w:t>Strittig und zu prüfen ist, ob der Gesuchsteller hinreichend Gewähr für eine fristgerechte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Aktuell belegt Indien auf dem durch das Entwicklungsprogramm der Vereinten Nationen im Sinne eines Wohlstandsindikators erstellten Index der menschlichen Entwicklung (HDI) lediglich Platz 134 von 191 gelisteten Staaten (vgl. ausführlich zum Ganzen Urteile des BVGer F-3904/2023 vom 10. Juni 2024 E. 6.2; F-3759/2023 vom 9. Februar 2024 E. 6.1; je m.w.H.). Dem Einwand des Beschwerdeführers, die schwierige wirtschaftliche Lage in Indien dürfe nicht zur ungerechtfertigten Annahme einer nicht fristge- rechten Ausreise aus dem Schengen-Raum führen, ist entgegenzuhalten, dass ein gewisser Schematismus in diesem Zusammenhang nicht vermie- den werden kann. Visumsverweigerungen erfolgen aber nicht pauschal aufgrund der Staatszugehörigkeit, sondern unter Vornahme einer Einzel- fallprüfung. Die Vorinstanz hat im Rahmen einer Gesamtwürdigung umfas- send auf die persönlichen Lebensumstände des Gesuchstellers Bezug ge- nommen (siehe E.4.4 ff. hiernach). Dass dabei Gesuchstellenden in ähnli- chen Lebenssituationen – unter Berücksichtigung der Besonderheiten des Einzelfalls – grundsätzlich ein gleicher Entscheid zukommt, spricht denn auch für eine rechtsgleiche Anwendung der Voraussetzungen bei der</w:t>
      </w:r>
    </w:p>
    <w:p>
      <w:r>
        <w:t>F-1952/2025 Seite 6 Prüfung einer Visumerteilung. Es ist vor diesem Hintergrund nicht zu be- anstanden, dass die Vorinstanz das Risiko einer nicht fristgerechten Wie- derausreise in Bezug auf gesuchstellende Personen aus Indien allgemein als erheblich einschätzt.</w:t>
      </w:r>
    </w:p>
    <w:p>
      <w:r>
        <w:rPr>
          <w:b/>
        </w:rPr>
        <w:t>E. 4.3</w:t>
      </w:r>
    </w:p>
    <w:p>
      <w:r>
        <w:t>Nebst den allgemeinen Verhältnissen im Herkunftsland sind, wie schon erwähnt, in die Risikoanalyse auch die Umstände des konkreten Einzel- falls, insbesondere die berufliche, gesellschaftliche und familiäre Verant- wortung der gesuchstellenden Person im Herkunftsland einzubeziehen. Bei Personen, die in ihrer Heimat keine besonderen Verpflichtungen wahr- nehmen oder die sich in wirtschaftlich ungünstigen Verhältnissen befinden, muss das Risiko eines ausländerrechtlich nicht regelkonformen Verhaltens nach einer bewilligten Einreise als vergleichsweise hoch eingeschätzt wer- den (vgl. BVGE 2019 VII/1 E. 7.2; 2014/1 E. 6.3.1; 2009/27 E. 8).</w:t>
      </w:r>
    </w:p>
    <w:p>
      <w:r>
        <w:rPr>
          <w:b/>
        </w:rPr>
        <w:t>E. 4.4</w:t>
      </w:r>
    </w:p>
    <w:p>
      <w:r>
        <w:t>Der 31-jährige Gesuchsteller ist ledig und kinderlos. Mit mutmasslich in Indien wohnhaften Verwandten dürfte er dort im weiteren Sinn über ein fa- miliäres Beziehungsnetz verfügen. Der Beschwerdeführer macht indes keine über das übliche Mass hinausgehenden Verpflichtungen des Ge- suchstellers oder gar Abhängigkeiten in dessen engeren familiären oder persönlichen Umfeld geltend, die besondere Gewähr für eine Rückkehr nach Indien bieten könnten. In derartigen Konstellationen ist das Emigrati- onsrisiko erhöht, wenn – wie im vorliegenden Fall – durch die Anwesenheit eines Freundes in der Schweiz ein vorbestehendes soziales Beziehungs- netz besteht (vgl. BVGE 2014/1 E. 6.2.2; Urteil des BVGer F-2857/2024 vom 29. Januar 2025 E. 5.3 m.H.).</w:t>
      </w:r>
    </w:p>
    <w:p>
      <w:r>
        <w:rPr>
          <w:b/>
        </w:rPr>
        <w:t>E. 4.5</w:t>
      </w:r>
    </w:p>
    <w:p>
      <w:r>
        <w:t>In Bezug auf die wirtschaftlichen Verhältnisse ist aktenkundig, dass der Gesuchsteller als Bote beim «(…)» arbeitstätig ist. Aus Kopien von Lohn- abrechnungen von Juli bis Dezember 2024 geht hervor, dass er ein monat- liches Nettoeinkommen zwischen 29’361 und 31’241 indische Rupien (zirka Fr. 293.– bis Fr. 311.– [Umrechnungskurs vom 09.04.2025]) erzielte. Eigenen Angaben zufolge verfügt er über Gold im Wert von 234'990 indi- sche Rupien (zirka Fr. 2'342.–) und Bargeld in der Höhe von 150'000 indi- sche Rupien (zirka Fr. 1'495.–). Sein behauptetes Engagement im Fami- lienunternehmen und ein in diesem Zusammenhang erzieltes Einkommen blieben allerdings gänzlich unbelegt. Gemäss Bankkontoauszügen ver- fügte er am 5. November 2024 über ein Vermögen von 652'786 indische Rupien (zirka Fr. 6'505.–). Hierzu ist zu bemerken, dass zwischen August und November 2024 und damit erst kurz vor Einreichung des Gesuchs um Ausstellung eines Schengen-Visums eines seiner Bankkonten von bloss</w:t>
      </w:r>
    </w:p>
    <w:p>
      <w:r>
        <w:t>F-1952/2025 Seite 7 101 indische Rupien (zirka Fr. 1.–) auf über 656'004 indische Rupien (zirka Fr. 6’538.–) aufgestockt wurde. Wie die Vorinstanz zutreffend ausführte, ist den entsprechenden Kontoauszügen nicht zu entnehmen, aus welchen Quellen die Gelder stammen. Gemäss einem als «Statement of Net Worth» bezeichneten Dokument vom 28. Oktober 2024 ist der Vater des Gesuch- stellers und nicht – wie behauptet – dieser selbst Eigentümer einer Immo- bilie. Vor diesem Hintergrund ist eine verlässliche Einschätzung der Ein- kommens- und Vermögenssituation des Gesuchstellers nicht möglich.</w:t>
      </w:r>
    </w:p>
    <w:p>
      <w:r>
        <w:rPr>
          <w:b/>
        </w:rPr>
        <w:t>E. 4.6</w:t>
      </w:r>
    </w:p>
    <w:p>
      <w:r>
        <w:t>Selbst wenn sich der Gesuchsteller – wie vom Beschwerdeführer be- hauptet – in einer für die lokalen Verhältnisse guten wirtschaftlichen Situation befinden sollte, vermöchte ihn dies nicht verlässlich davon abzuhalten, sein Herkunftsland dauerhaft zu verlassen. Grundeigentum und andere Vermögenswerte gehen bei einer Emigration nicht zwingend verloren (vgl. BVGE 2014/1 E. 6.3.6 m.H.). Nicht für das Vorliegen von wirtschaftlich günstigen oder privilegierten Verhältnissen spricht sodann, dass sämtliche mit dem Besuchsaufenthalt verbundenen Kosten vom Be- schwerdeführer übernommen würden. Angesichts dessen sind die wirt- schaftlichen und finanziellen Verhältnisse des Gesuchstellers nicht ge- eignet, die Prognose für eine fristgerechte Wiederausreise zu begünstigen.</w:t>
      </w:r>
    </w:p>
    <w:p>
      <w:r>
        <w:rPr>
          <w:b/>
        </w:rPr>
        <w:t>E. 4.7</w:t>
      </w:r>
    </w:p>
    <w:p>
      <w:r>
        <w:t>Nach dem Gesagten ging die Vorinstanz zu Recht davon aus, die Wie- derausreise des jungen, ledigen Gesuchstellers sei nicht ausreichend ge- sichert. An dieser Einschätzung vermögen die vom Beschwerdeführer un- terzeichnete Unterhaltsgarantie sowie die Zusicherung einer fristgerechten Ausreise nichts zu ändern. Auch wenn an der Integrität des Beschwerde- führers nicht gezweifelt werden soll, ist doch massgeblich zu berücksichti- gen, dass er zwar mit rechtlich verbindlicher Wirkung für gewisse finanzi- elle Risiken im Zusammenhang mit dem Besuchsaufenthalt seines Freun- des, nicht aber für ein bestimmtes Verhalten der eingeladenen Person ein- stehen kann (vgl. BVGE 2014/1 E. 6.3.7; BVGE 2009/27 E. 9). Soweit er schliesslich vorbringt, alle seine bisherigen Gäste aus Indien seien fristge- recht wieder aus dem Schengen-Raum ausgereist, ist festzuhalten, dass die Entscheidung über die Visumerteilung aufgrund der derzeitigen Situa- tion im Herkunftsland und der aktuellen persönlichen Umstände der ge- suchstellenden Person zu erfolgen hat. Zu einem früheren Zeitpunkt an Dritte erteilte Visa können somit nicht als Grundlage für eine neue Ent- scheidung des hiesigen Gesuchstellers herangezogen werden (Urteile des BVGer F-858/2024 vom 11. September 2024 E. 5.6; F-2276/2024 vom 3. September 2024 E. 5.7).</w:t>
      </w:r>
    </w:p>
    <w:p>
      <w:r>
        <w:t>F-1952/2025 Seite 8</w:t>
      </w:r>
    </w:p>
    <w:p>
      <w:r>
        <w:rPr>
          <w:b/>
        </w:rPr>
        <w:t>E. 5</w:t>
      </w:r>
    </w:p>
    <w:p>
      <w:r>
        <w:t>Im Ergebnis hat die Vorinstanz das nachgesuchte Visum für den Schen- gen-Raum zu Recht verweigert. Gründe humanitärer oder anderer Art, wel- che die Erteilung eines Visums mit räumlich beschränkter Gültigkeit allen- falls zu rechtfertigen vermöchten (siehe E. 3.5 hiervor), wurden nicht gel- tend gemacht und sind auch nicht ersichtlich. Die angefochtene Verfügung erweist sich als rechtmässig (Art. 49 VwVG). Die Beschwerde ist abzuwei- sen.</w:t>
      </w:r>
    </w:p>
    <w:p>
      <w:r>
        <w:rPr>
          <w:b/>
        </w:rPr>
        <w:t>E. 6</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Bundesverwaltungsgericht entscheidet in der vorliegenden Angele- genheit endgültig (Art. 83 Bst. c Ziff. 1 BGG; vgl. Urteile des BGer 2C_468/2024 vom 3. Oktober 2024 E. 2; 2C_316/2024 vom 21. Juni 2024 E. 2). (Dispositiv: nachfolgende Seite)</w:t>
      </w:r>
    </w:p>
    <w:p>
      <w:r>
        <w:t>F-1952/2025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