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F-1946/2021 vom 2. Mai 2023</w:t>
      </w:r>
    </w:p>
    <w:p>
      <w:r>
        <w:t>Bundesverwaltungsgericht, 2023-05-02, FR</w:t>
      </w:r>
    </w:p>
    <w:p>
      <w:r>
        <w:rPr>
          <w:b/>
        </w:rPr>
        <w:t xml:space="preserve">Quelle: </w:t>
      </w:r>
      <w:r>
        <w:t>https://mcp.opencaselaw.ch/entscheid/bvger_F-1946_2021</w:t>
      </w:r>
    </w:p>
    <w:p>
      <w:r>
        <w:t>FR: TAF F-1946/2021 du 2 mai 2023</w:t>
      </w:r>
    </w:p>
    <w:p>
      <w:r>
        <w:t>IT: TAF F-1946/2021 del 2 maggio 2023</w:t>
      </w:r>
    </w:p>
    <w:p>
      <w:pPr>
        <w:pStyle w:val="Heading2"/>
      </w:pPr>
      <w:r>
        <w:t>Regeste</w:t>
      </w:r>
    </w:p>
    <w:p>
      <w:r>
        <w:t>Assistance administrative</w:t>
      </w:r>
    </w:p>
    <w:p>
      <w:pPr>
        <w:pStyle w:val="Heading2"/>
      </w:pPr>
      <w:r>
        <w:t>Erwägungen</w:t>
      </w:r>
    </w:p>
    <w:p>
      <w:r>
        <w:rPr>
          <w:b/>
        </w:rPr>
        <w:t>E. 5.1</w:t>
      </w:r>
    </w:p>
    <w:p>
      <w:r>
        <w:t>Pour ce qui est des conditions de fond, le recourant argue avoir ouvert le compte bancaire concerné dans le cadre d'un mandat typique de l'avocat, de sorte que les documents et informations y relatifs seraient soumis au secret professionnel de l'avocat et ne pourraient être transmis à l'Etat français.</w:t>
      </w:r>
    </w:p>
    <w:p>
      <w:r>
        <w:rPr>
          <w:b/>
        </w:rPr>
        <w:t>E. 5.1.1</w:t>
      </w:r>
    </w:p>
    <w:p>
      <w:r>
        <w:t>En vertu de l'art. 8 al. 6 LAAF, les avocats qui sont autorisés à pratiquer la représentation en justice aux termes de la loi du 23 juin 2000 sur les avocats (LLCA, RS 935.61) peuvent refuser de remettre des documents et des informations qui sont couverts par le secret professionnel. Les documents que l'avocat possède à un autre titre sont soumis à l'obligation de transmission. Cette protection du secret professionnel des avocats correspond à l'art. 28 par. 3 let. c CDI-FR précité (soit à l'art. 26 par. 3 let. c du modèle OCDE, cf. Message du Conseil fédéral du 6 juillet 2011 concernant l'adoption d'une LAAF [MCF LAAF], FF 2011 5771, 5787 ; arrêt du TAF A-6035/2018 du 26 février 2020 consid. 3.9.2).</w:t>
      </w:r>
    </w:p>
    <w:p>
      <w:r>
        <w:rPr>
          <w:b/>
        </w:rPr>
        <w:t>E. 5.1.2</w:t>
      </w:r>
    </w:p>
    <w:p>
      <w:r>
        <w:t>En l'espèce, la banque ne saurait être considérée comme l'auxiliaire de l'avocat dans les présentes circonstances. En effet, bien que la définition de l'auxiliaire soit large et puisse d'ailleurs inclure des tiers externes à l'étude de l'avocat (cf. ATF 145 II 229 consid. 7.3), cette qualité suppose l'inclusion dans le cercle du secret. Or, le Tribunal ne discerne pas les secrets auxquels a pu accéder la banque, qui s'est limitée à exécuter des ordres sans en connaître la cause - à tout le moins le recourant n'allègue-t-il pas le contraire. Ainsi exclue de la relation entre l'avocat et sa cliente - qui est bien l'objet du secret professionnel - la banque n'était tenue à aucune obligation de garder le secret sur l'existence même du compte, voire même sur le détail des transactions bancaires, sauf à la lumière du secret bancaire de l'art. 47 LB qui ne peut toutefois être invoqué en matière d'échange de renseignements. La banque ne s'est par ailleurs pas prévalue du secret professionnel pour faire obstacle aux ordonnances de production, pas plus que le recourant n'a déposé plainte pénale à son encontre, et pour cause (voir arrêt du TAF A-3221/2018 du 6 avril 2022 consid. 5 et 7.2).</w:t>
      </w:r>
    </w:p>
    <w:p>
      <w:r>
        <w:rPr>
          <w:b/>
        </w:rPr>
        <w:t>E. 5.2</w:t>
      </w:r>
    </w:p>
    <w:p>
      <w:r>
        <w:t>Ensuite, le recourant argue que la condition de la pertinence vraisemblable ne serait pas respectée. En effet, d'une part, l'ayant-droit économique du compte bancaire dont il est titulaire aurait quitté la France pour le Maroc en 2008, de sorte qu'elle n'aurait plus été assujettie aux impôts en France pendant la période concernée. D'autre part, son nom devrait être anonymisé, puisque sans pertinence pour les autorités françaises.</w:t>
      </w:r>
    </w:p>
    <w:p>
      <w:r>
        <w:rPr>
          <w:b/>
        </w:rPr>
        <w:t>E. 5.2.1</w:t>
      </w:r>
    </w:p>
    <w:p>
      <w:r>
        <w:t>En l'occurrence, dans l'ATF 146 II 150, le Tribunal fédéral a jugé d'une manière qui lie la Cour de céans (consid. 1.4.3 supra)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(consid. 2.5.2 supra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5.2.2</w:t>
      </w:r>
    </w:p>
    <w:p>
      <w:r>
        <w:t>En revanche, la question n'a pas été spécifiquement examinée, dans l'arrêt du Tribunal fédéral, de savoir si, compte tenu des éléments concernant l'absence de domicile en France tels qu'invoqués ici par le recourant, la pertinence vraisemblable aurait disparu en l'espèce. A cet égard, la Cour de céans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consid. 2.9 supra). En l'occurrence, il est relevé que le Tribunal de céans a déjà eu l'occasion de juger que les codes de domicile français figurant sur les listes B et C constituaient des critères d'assujettissement suffisants pour considérer que les personnes derrière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l'ayant-droit économique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du Maroc, Etat dans lequel le recourant fait valoir que l'ayant-droit économique du compte a été domicilié fiscalement durant la période sous contrôle n'a pas à être examinée par la Cour de céans.</w:t>
      </w:r>
    </w:p>
    <w:p>
      <w:r>
        <w:rPr>
          <w:b/>
        </w:rPr>
        <w:t>E. 5.2.3</w:t>
      </w:r>
    </w:p>
    <w:p>
      <w:r>
        <w:t>A toutes fins utiles,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X._______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ci-avant (cf. consid. 5.2.2 supra),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que les informations requises ne seraient pas vraisemblablement pertinentes, quel qu'ait été le domicile fiscal de l'ayant-droit économique du compte au sens international matériel pour les années 2006 et 2008 (arrêt du TAF A-5662/2020 du 10 mai 2021 consid. 5.1.4 [par arrêt du 2 juin 2021 rendu en la cause 2C_435/2021, le Tribunal fédéral a déclaré irrecevable le recours interjeté contre cet arrêt]). Ce qui est déterminant c'est l'existence d'une relation bancaire ayant perduré durant la période visée par la demande d'assistance administrative. Contrairement à ce qu'allègue le recourant, l'information reste vraisemblablement pertinente malgré un solde du compte à zéro (cf. arrêt du TAF A-3482/2018 du 5 août 2019 consid. 5.5).</w:t>
      </w:r>
    </w:p>
    <w:p>
      <w:r>
        <w:rPr>
          <w:b/>
        </w:rPr>
        <w:t>E. 5.2.4</w:t>
      </w:r>
    </w:p>
    <w:p>
      <w:r>
        <w:t>Enfin, une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A-4025/2016 du 2 mai 2017 consid. 3.4; A-2838/2016 du 8 mars 2017 consid. 3.6.2.3 et A-2468/2016 du 19 octobre 2016 consid. 3.2.1). Le nom d'un tiers peut figurer dans la documentation à transmettre s'il est de nature à contribuer à élucider la situation fiscale du contribuable visé (ATF 144 II 29 consid. 4.2.3). Selon la jurisprudence constante du Tribunal administratif fédéral, il convient plutôt, dans une telle constellation, de désigner chaque pièce du dossier qui doit être exclue de la transmission et d'exposer en détail les raisons pour lesquelles elle ne peut pas être pertinente dans la procédure étrangère (cf. arrêts du TAF A-6859/2019 du 2 décembre 2020 consid. 2.7.4, A-4353/2016 du 27 février 2017 consid. 5.2 et A-5506/2015 du 31 octobre 2016 consid. 12.2.6). Le recourant ne fait à juste titre pas valoir être un tiers non impliqué dont le nom devrait à ce titre être caviardé (cf. arrêt du TAF B-4518/2017 du 20 novembre 2017 consid. 4). En outre, le Tribunal estime que la mention de son nom en tant que titulaire du compte apparaît vraisemblablement pertinente ; cette information figure d'ailleurs sur la demande d'assistance et le recourant n'expose pas d'autres arguments que celui du secret professionnel (cf. 5.1 supra).</w:t>
      </w:r>
    </w:p>
    <w:p>
      <w:r>
        <w:rPr>
          <w:b/>
        </w:rPr>
        <w:t>E. 5.3</w:t>
      </w:r>
    </w:p>
    <w:p>
      <w:r>
        <w:t>Enfin, le recourant reproche à l'autorité inférieure d'avoir violé le principe de subsidiarité, relevant notamment que les autorités françaises auraient pu facilement vérifier le domicile de l'ayant-droit économique et ainsi déterminer son assujettissement.</w:t>
      </w:r>
    </w:p>
    <w:p>
      <w:r>
        <w:rPr>
          <w:b/>
        </w:rPr>
        <w:t>E. 5.3.1</w:t>
      </w:r>
    </w:p>
    <w:p>
      <w:r>
        <w:t>A cet égard, il sied tout au plus de rappeler que le principe de subsidiarité a pour but de veiller à ce que la demande d'assistance administrative n'intervienne qu'à titre subsidiaire et non pas pour faire peser sur l'Etat requis la charge d'obtenir des renseignements qui seraient à la portée de l'Etat requérant en vertu de sa procédure fiscale interne (ATF 144 II 206 consid. 3.3.1). La question du respect du principe de la subsidiarité est étroitement liée au principe de la confiance, associé au principe de la bonne foi. Ainsi, à défaut d'élément concret, respectivement de doutes sérieux, il n'y a pas de raison de remettre en cause la réalisation du principe de subsidiarité lorsqu'un Etat forme une demande d'assistance administrative, en tous les cas lorsque celui-ci déclare avoir épuisé les sources habituelles de renseignements ou procédé de manière conforme à la convention (ATF 144 II 206 consid. 3.3.2).</w:t>
      </w:r>
    </w:p>
    <w:p>
      <w:r>
        <w:rPr>
          <w:b/>
        </w:rPr>
        <w:t>E. 5.3.2</w:t>
      </w:r>
    </w:p>
    <w:p>
      <w:r>
        <w:t>Le principe de subsidiarité n'implique pas pour l'autorité requérante d'épuiser l'intégralité des sources de renseignement. En particulier, il n'y a pas lieu d'exiger de l'autorité requérante qu'elle démontre avoir interpellé en vain le contribuable visé avant de demander l'assistance à la Suisse (cf. les arrêts du TAF A-7413/2018 du 8 octobre 2020 consid. 9.5, A-1146/2019 du 6 septembre 2019 consid. 5.2 et A-5647/2017 du 2 août 2018 consid. 4.3.3). Le Tribunal a d'ailleurs précisé que lorsque le contribuable est soupçonné de n'avoir pas déclaré correctement à l'Etat requérant la totalité de ses avoirs détenus à l'étranger, il ne peut être exigé de ce dernier qu'il se soit adressé au préalable au contribuable concerné (cf. les arrêts du TAF A-5695/2018 du 22 avril 2020 consid. 4.2.2 et A-5648/2014 du 12 février 2015 consid. 7).</w:t>
      </w:r>
    </w:p>
    <w:p>
      <w:r>
        <w:rPr>
          <w:b/>
        </w:rPr>
        <w:t>E. 5.3.3</w:t>
      </w:r>
    </w:p>
    <w:p>
      <w:r>
        <w:t>En conséquence, le grief tiré de la violation du principe de subsidiarité doit également être écarté.</w:t>
      </w:r>
    </w:p>
    <w:p>
      <w:r>
        <w:rPr>
          <w:b/>
        </w:rPr>
        <w:t>E. 6.1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Ce montant sera prélevé sur l'avance de frais déjà versée d'un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