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F-1945/2021 vom 1. Mai 2023</w:t>
      </w:r>
    </w:p>
    <w:p>
      <w:r>
        <w:t>Bundesverwaltungsgericht, 2023-05-01, FR</w:t>
      </w:r>
    </w:p>
    <w:p>
      <w:r>
        <w:rPr>
          <w:b/>
        </w:rPr>
        <w:t xml:space="preserve">Quelle: </w:t>
      </w:r>
      <w:r>
        <w:t>https://mcp.opencaselaw.ch/entscheid/bvger_F-1945_2021</w:t>
      </w:r>
    </w:p>
    <w:p>
      <w:r>
        <w:t>FR: TAF F-1945/2021 du 1 mai 2023</w:t>
      </w:r>
    </w:p>
    <w:p>
      <w:r>
        <w:t>IT: TAF F-1945/2021 del 1 maggio 2023</w:t>
      </w:r>
    </w:p>
    <w:p>
      <w:pPr>
        <w:pStyle w:val="Heading2"/>
      </w:pPr>
      <w:r>
        <w:t>Regeste</w:t>
      </w:r>
    </w:p>
    <w:p>
      <w:r>
        <w:t>Assistance administrative</w:t>
      </w:r>
    </w:p>
    <w:p>
      <w:pPr>
        <w:pStyle w:val="Heading2"/>
      </w:pPr>
      <w:r>
        <w:t>Erwägungen</w:t>
      </w:r>
    </w:p>
    <w:p>
      <w:r>
        <w:rPr>
          <w:b/>
        </w:rPr>
        <w:t>E. 5.1</w:t>
      </w:r>
    </w:p>
    <w:p>
      <w:r>
        <w:t>D'emblée le Tribunal relève que la recourante est l'ayant-droit économique de trois comptes bancaires, lesquels font l'objet de trois procédure s de recours distinctes (F-1945/2022, F-1947/2022 et F-1952/2022). Le compte bancaire concernant la procédure F-1947/2022 a été ouvert par un avocat, raison pour laquelle la recourante se prévaut, dans sa réplique commune aux trois procédures, du secret professionnel de l'avocat. Cela étant, dès lors que cet argument ne concerne que ledit compte et non le compte bancaire faisant l'objet de la présente procédure, ce que l'AFC a d'ailleurs soulevé dans sa duplique envoyée à la recourante pour connaissance, il n'y a pas lieu d'examiner ce grief dans la présente procédure.</w:t>
      </w:r>
    </w:p>
    <w:p>
      <w:r>
        <w:rPr>
          <w:b/>
        </w:rPr>
        <w:t>E. 5.2</w:t>
      </w:r>
    </w:p>
    <w:p>
      <w:r>
        <w:t>Ensuite, la recourante argue qu'elle a quitté la France pour le Maroc en 2008, de sorte qu'elle n'était plus assujettie aux impôts en France dès ladite année. Ainsi, les informations à transmettre ne rempliraient pas le critère de la pertinence vraisemblable. En outre, l'Etat français aurait pu facilement vérifier son domicile et ainsi déterminer son assujettissement, de sorte que le principe de subsidiarité n'aurait pas été respecté.</w:t>
      </w:r>
    </w:p>
    <w:p>
      <w:r>
        <w:rPr>
          <w:b/>
        </w:rPr>
        <w:t>E. 5.2.1</w:t>
      </w:r>
    </w:p>
    <w:p>
      <w:r>
        <w:t>En l'occurrence, dans l'ATF 146 II 150, le Tribunal fédéral a jugé d'une manière qui lie la Cour de céans (consid. 1.4.3 supra)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(consid. 2.5.2 supra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5.2.2</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du Maroc, Etat dans lequel la recourante fait valoir avoir été domiciliée fiscalement durant la période sous contrôle n'a pas à être examinée par la Cour de céans.</w:t>
      </w:r>
    </w:p>
    <w:p>
      <w:r>
        <w:rPr>
          <w:b/>
        </w:rPr>
        <w:t>E. 5.2.3</w:t>
      </w:r>
    </w:p>
    <w:p>
      <w:r>
        <w:t>A toutes fins utiles,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X._______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5.1.2 supra),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les informations requises ne seraient pas vraisemblablement pertinentes, quel qu'ait été son domicile fiscal entendu au sens international matériel pour les années 2006 et 2008 (arrêt du TAF A-5662/2020 du 10 mai 2021 consid. 5.1.4 [par arrêt du 2 juin 2021 rendu en la cause 2C_435/2021, le Tribunal fédéral a déclaré irrecevable le recours interjeté contre cet arrêt]).</w:t>
      </w:r>
    </w:p>
    <w:p>
      <w:r>
        <w:rPr>
          <w:b/>
        </w:rPr>
        <w:t>E. 5.3</w:t>
      </w:r>
    </w:p>
    <w:p>
      <w:r>
        <w:t>Enfin, la recourante reproche à l'autorité inférieure d'avoir violé le principe de subsidiarité, relevant notamment que les autorités françaises ne s'étaient jamais adressées directement aux personnes concernées par la décision litigieuse pour obtenir les renseignements demandés.</w:t>
      </w:r>
    </w:p>
    <w:p>
      <w:r>
        <w:rPr>
          <w:b/>
        </w:rPr>
        <w:t>E. 5.3.1</w:t>
      </w:r>
    </w:p>
    <w:p>
      <w:r>
        <w:t>A cet égard, il sied tout au plus de rappeler que le principe de subsidiarité a pour but de veiller à ce que la demande d'assistance administrative n'intervienne qu'à titre subsidiaire et non pas pour faire peser sur l'Etat requis la charge d'obtenir des renseignements qui seraient à la portée de l'Etat requérant en vertu de sa procédure fiscale interne (ATF 144 II 206 consid. 3.3.1). La question du respect du principe de la subsidiarité est étroitement liée au principe de la confiance, associé au principe de la bonne foi. Ainsi,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w:t>
      </w:r>
    </w:p>
    <w:p>
      <w:r>
        <w:rPr>
          <w:b/>
        </w:rPr>
        <w:t>E. 5.3.2</w:t>
      </w:r>
    </w:p>
    <w:p>
      <w:r>
        <w:t>Le principe de subsidiarité n'implique pas pour l'autorité requérante d'épuiser l'intégralité des sources de renseignement. En particulier, il n'y a pas lieu d'exiger de l'autorité requérante qu'elle démontre avoir interpellé en vain le contribuable visé avant de demander l'assistance à la Suisse (cf. les arrêts du TAF A-7413/2018 du 8 octobre 2020 consid. 9.5, A-1146/2019 du 6 septembre 2019 consid. 5.2 et A-5647/2017 du 2 août 2018 consid. 4.3.3). Le Tribunal a d'ailleurs précisé que lorsque le contribuable est soupçonné de n'avoir pas déclaré correctement à l'Etat requérant la totalité de ses avoirs détenus à l'étranger, il ne peut être exigé de ce dernier qu'il se soit adressé au préalable au contribuable concerné (cf. les arrêts du TAF A-5695/2018 du 22 avril 2020 consid. 4.2.2 et A-5648/2014 du 12 février 2015 consid. 7).</w:t>
      </w:r>
    </w:p>
    <w:p>
      <w:r>
        <w:rPr>
          <w:b/>
        </w:rPr>
        <w:t>E. 5.3.3</w:t>
      </w:r>
    </w:p>
    <w:p>
      <w:r>
        <w:t>En conséquence, le grief tiré de la violation du principe de subsidiarité doit également être écarté.</w:t>
      </w:r>
    </w:p>
    <w:p>
      <w:r>
        <w:rPr>
          <w:b/>
        </w:rPr>
        <w:t>E. 6.1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Ce montant sera prélevé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