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F-1931/2024 vom 18. April 2024</w:t>
      </w:r>
    </w:p>
    <w:p>
      <w:r>
        <w:t>Bundesverwaltungsgericht, 2024-04-18, DE</w:t>
      </w:r>
    </w:p>
    <w:p>
      <w:r>
        <w:rPr>
          <w:b/>
        </w:rPr>
        <w:t xml:space="preserve">Quelle: </w:t>
      </w:r>
      <w:r>
        <w:t>https://mcp.opencaselaw.ch/entscheid/bvger_F-1931_2024</w:t>
      </w:r>
    </w:p>
    <w:p>
      <w:r>
        <w:t>FR: TAF F-1931/2024 du 18 avril 2024</w:t>
      </w:r>
    </w:p>
    <w:p>
      <w:r>
        <w:t>IT: TAF F-1931/2024 del 18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sowie die Prüfung von Wegweisungsvollzugshindernissen im Hinblick auf das Herkunftsland und die allfällige Anordnung der vorläufigen Aufnahme bilden demgegenüber nicht Gegenstand des angefochtenen Nichteintretensentscheides und damit auch nicht des vorliegenden Verfahrens. Auf die entsprechenden Beschwerdeanträge ist deshalb nicht einzutreten.</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Ein Abgleich der Fingerabdrücke des Beschwerdeführers mit der Eurodac-Datenbank ergab, dass dieser vor seiner Einreise in die Schweiz am 19. Januar 2024 in Frankreich um Asyl nachgesucht hatte, weshalb die Vorinstanz zu Recht gestützt auf Art. 18 Abs. 1 Bst. b Dublin-III-VO die französischen Behörden um Wiederaufnahme des Beschwerdeführers ersuchte. Diese haben dem Wiederaufnahmegesuch der Vorinstanz innert der in Art. 25 Abs. 1 Dublin-III-VO festgelegten Frist gestützt auf Art. 18 Abs. 1 Bst. b Dublin-III-VO ausdrücklich zugestimmt.</w:t>
      </w:r>
    </w:p>
    <w:p>
      <w:r>
        <w:rPr>
          <w:b/>
        </w:rPr>
        <w:t>E. 4.2</w:t>
      </w:r>
    </w:p>
    <w:p>
      <w:r>
        <w:t>Die grundsätzliche Zuständigkeit Frankreichs für die Durchführung des Asyl- und Wegweisungsverfahrens ist somit gegeben.</w:t>
      </w:r>
    </w:p>
    <w:p>
      <w:r>
        <w:rPr>
          <w:b/>
        </w:rPr>
        <w:t>E. 5</w:t>
      </w:r>
    </w:p>
    <w:p>
      <w:r>
        <w:t>Nach ständiger Rechtsprechung des Bundesverwaltungsgerichts weist das Asylverfahren in Frankreich keine systemischen Schwachstellen im Sinne von Art. 3 Abs. 2 Dublin-III-VO auf (vgl. anstelle vieler: Urteil des BVGer F-6666/2023 vom 11. Dezember 2023 E. 6 m.w.H.). Dies stellt der Beschwerdeführer nicht in Frage, weshalb sich Weiterungen dazu erübrigen. Unter diesen Umständen ist die Anwendung von Art. 3 Abs. 2 Dublin-III-VO nicht gerechtfertigt.</w:t>
      </w:r>
    </w:p>
    <w:p>
      <w:r>
        <w:rPr>
          <w:b/>
        </w:rPr>
        <w:t>E. 6.1</w:t>
      </w:r>
    </w:p>
    <w:p>
      <w:r>
        <w:t>Nachfolgend ist zu prüfen, ob die Vorinstanz das Selbsteintrittsrecht nach Art. 17 Abs. 1 erster Satz Dublin-III-VO, konkretisiert in Art. 29a Abs. 3 AsylV 1, zu Recht nicht ausgeübt hat.</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hat die diesbezüglichen völkerrechtlichen Verpflichtungen zu beachten. Ausserdem wird Frankreich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Mangels systemischer Mängel im Sinne von Art. 3 Abs. 2 Dublin-III-VO kann vermutungsweise davon ausgegangen werden, dass Frankreich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6.4</w:t>
      </w:r>
    </w:p>
    <w:p>
      <w:r>
        <w:t>Der Beschwerdeführer macht geltend, dass er in Georgien von Gläubigern wegen ausstehender Spielschulden verfolgt und in Frankreich von ihnen gefunden und «erschossen» worden sei. Die französische Polizei könne ihn nicht vor ihnen schützen. Ausserdem müsse er in Frankreich auf der Strasse wohnen. Mit diesen unsubstantiierten und unbelegten Vorbringen vermag er nicht rechtsgenügend darzutun, die ihn bei einer Rückführung nach Frankreich erwartenden Bedingungen seien derart schlecht, dass sie zu einer Verletzung von Art. 4 der EU-Grundrechtecharta beziehungsweise Art. 3 EMRK führen könnten. Den Akten lassen sich keine Gründe für die Annahme entnehmen, Frankreich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Der Beschwerdeführer hat sich bei einer allfälligen Bedrohung an die französischen Polizei- und Justizbehörden zu wenden. Frankreich ist ein Rechtsstaat und die Behörden sind gewillt und fähig, staatlichen Schutz zu gewähren. Es bestehen keinerlei Hinweise dafür, dass der Beschwerdeführer den benötigten Schutz dort nicht erhalten würde. Insgesamt hat der Beschwerdeführer keine individuellen Umstände geltend gemacht, gestützt auf welche sich die Annahme rechtfertigen würde, Frankreich werde ihm nach einer Überstellung im Rahmen des Dublin-Verfahrens dauerhaft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w:t>
      </w:r>
    </w:p>
    <w:p>
      <w:r>
        <w:rPr>
          <w:b/>
        </w:rPr>
        <w:t>E. 6.5</w:t>
      </w:r>
    </w:p>
    <w:p>
      <w:r>
        <w:t>Was den Gesundheitszustand des Beschwerdeführers angeht, sind die im Dublin-Gespräch erwähnten Rückenschmerzen, Hepatitis B, Arthritis, Prostataprobleme und Pilzinfektionen der Geschlechtsorgane sowie Angstzustände und Neurosen selbst in ihrer Gesamtheit nicht von derartiger Schwere, dass sie eine bei einer Überstellung nach Frankreich drohende Verletzung von Art. 3 EMRK zu begründen vermöchten.</w:t>
      </w:r>
    </w:p>
    <w:p>
      <w:r>
        <w:rPr>
          <w:b/>
        </w:rPr>
        <w:t>E. 6.6</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6.7</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Nach dem Gesagten ist die Beschwerde abzuweisen.</w:t>
      </w:r>
    </w:p>
    <w:p>
      <w:r>
        <w:rPr>
          <w:b/>
        </w:rPr>
        <w:t>E. 8.1</w:t>
      </w:r>
    </w:p>
    <w:p>
      <w:r>
        <w:t>Das Beschwerdeverfahren ist mit vorliegendem Urteil abgeschlossen, weshalb sich die Anträge auf Verzicht auf die Erhebung eines Kostenvorschusses und auf Gewährung der aufschiebenden Wirkung als gegenstandslos erweisen. Der am 2. April 2024 verfügte Vollzugsstopp fällt mit dem vorliegenden Urteil dahin.</w:t>
      </w:r>
    </w:p>
    <w:p>
      <w:r>
        <w:rPr>
          <w:b/>
        </w:rPr>
        <w:t>E. 8.2</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8.3</w:t>
      </w:r>
    </w:p>
    <w:p>
      <w:r>
        <w:t>Das Gesuch um amtliche Verbeiständung in Sinne von Art. 102m Abs. 1 AsylG ist mangels Erfüllung der Voraussetzungen von Art. 65 Abs. 1 VwVG ebenfalls abzuweisen.</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