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F-1930/2024 vom 10. Juli 2024</w:t>
      </w:r>
    </w:p>
    <w:p>
      <w:r>
        <w:t>Bundesverwaltungsgericht, 2024-07-10, DE</w:t>
      </w:r>
    </w:p>
    <w:p>
      <w:r>
        <w:rPr>
          <w:b/>
        </w:rPr>
        <w:t xml:space="preserve">Quelle: </w:t>
      </w:r>
      <w:r>
        <w:t>https://mcp.opencaselaw.ch/entscheid/bvger_F-1930_2024</w:t>
      </w:r>
    </w:p>
    <w:p>
      <w:r>
        <w:t>FR: TAF F-1930/2024 du 10 juillet 2024</w:t>
      </w:r>
    </w:p>
    <w:p>
      <w:r>
        <w:t>IT: TAF F-1930/2024 del 10 luglio 2024</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31 ff. VGG und Art. 5 VwVG). Das Rechts- mittelverfahren richtet sich nach dem VwVG, soweit das VGG nichts ande- res bestimmt (Art. 37 VGG).</w:t>
      </w:r>
    </w:p>
    <w:p>
      <w:r>
        <w:rPr>
          <w:b/>
        </w:rPr>
        <w:t>E. 1.2</w:t>
      </w:r>
    </w:p>
    <w:p>
      <w:r>
        <w:t>Der Beschwerdeführer ist zur Beschwerde legitimiert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w:t>
      </w:r>
    </w:p>
    <w:p>
      <w:r>
        <w:t>F-1930/2024 Seite 3 erheblichen Sachverhalts und, im Falle von Bundesbehörden, die Unange- messenheit gerügt werden (vgl. Art. 49 VwVG). Das Bundesverwaltungs- gericht wendet im Beschwerdeverfahren das Bundesrecht von Amtes we- gen an und ist nicht an die Begründung der Begehren gebunden (Art. 62 Abs. 4 VwVG). Massgeblich ist grundsätzlich die Sachlage im Entscheid- zeitpunkt (vgl. BVGE 2020 VII/4 E. 2.2 m.H.).</w:t>
      </w:r>
    </w:p>
    <w:p>
      <w:r>
        <w:rPr>
          <w:b/>
        </w:rPr>
        <w:t>E. 3.1</w:t>
      </w:r>
    </w:p>
    <w:p>
      <w:r>
        <w:t>Der angefochtenen Verfügung liegt ein Gesuch einer sri-lankischen Staatsangehörigen um Erteilung eines Visums zu Besuchszwecken in der Schweiz zugrunde. Da sich die Gesuchstellerin als Drittstaatsangehörige nicht auf die EU/EFTA-Personenfreizügigkeitsabkommen berufen kann und die beabsichtigte Aufenthaltsdauer 90 Tage nicht überschreitet, fällt die Streitsache in den Anwendungsbereich der Schengen-Assoziierungsab- kommen, mit denen die Schweiz den Schengen-Besitzstand sowie die da- zugehörigen gemeinschaftsrechtlichen Rechtsakte übernommen hat (BVGE 2014/1 E. 3; 2011/48 E. 3). Das AIG und dessen Ausführungsbe- stimmungen gelangen nur soweit zur Anwendung, als die Schengen-Asso- 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w:t>
      </w:r>
    </w:p>
    <w:p>
      <w:r>
        <w:t>F-1930/2024 Seite 4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 schreiten der Grenzen durch Personen [Schengener Grenzkodex, SGK, ABl. L 77/1 vom 23. Juni 2016]; Art. 14 Abs. 1 und Art. 21 Abs. 1 der Ver- ordnung [EG] Nr. 810/2009 des Europäischen Parlaments und des Rates vom 13. Juli 2009 über einen Visakodex der Gemeinschaft [Visakodex, VK, ABl. L 243/1 vom 15. September 2009]).</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und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 Ab- lauf der Gültigkeit des beantragten Visums zu verlassen (Art. 32 Abs. 1 Bst. b VK).</w:t>
      </w:r>
    </w:p>
    <w:p>
      <w:r>
        <w:rPr>
          <w:b/>
        </w:rPr>
        <w:t>E. 3.5</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w:t>
      </w:r>
    </w:p>
    <w:p>
      <w:r>
        <w:t>F-1930/2024 Seite 5 wenn er es aus humanitären Gründen, aus solchen des nationalen Interes- ses oder aufgrund internationaler Verpflichtungen für erforderlich hält (vgl. Art. 3 Abs. 4 und 5 VEV; Art. 25 Abs. 1 Bst. a Visakodex; Art. 6 Abs. 5 Bst. c SGK).</w:t>
      </w:r>
    </w:p>
    <w:p>
      <w:r>
        <w:rPr>
          <w:b/>
        </w:rPr>
        <w:t>E. 4</w:t>
      </w:r>
    </w:p>
    <w:p>
      <w:r>
        <w:t>Strittig ist, ob die Gesuchstellerin hinreichend Gewähr für eine fristgerechte Wiederausreise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4.2</w:t>
      </w:r>
    </w:p>
    <w:p>
      <w:r>
        <w:t>Sri Lanka leidet an einer Wirtschafts- und Finanzkrise. Im ganzen Land besteht die Gefahr von gewaltsamen Ausschreitungen, Streiks und Versor- gungsengpässen (vgl. einlässlich dazu das Urteil des BVGer F-4154/2023 vom 5. Juni 2024 E. 4.2 m.w.H.). In Anbetracht dieser Umstände ist nicht zu beanstanden, wenn die Vorinstanz das Risiko einer nicht fristgerechten Wiederausreise von gesuchstellenden Personen aus Sri Lanka allgemein als erheblich einschätzt.</w:t>
      </w:r>
    </w:p>
    <w:p>
      <w:r>
        <w:rPr>
          <w:b/>
        </w:rPr>
        <w:t>E. 4.3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w:t>
      </w:r>
    </w:p>
    <w:p>
      <w:r>
        <w:rPr>
          <w:b/>
        </w:rPr>
        <w:t>E. 4.4</w:t>
      </w:r>
    </w:p>
    <w:p>
      <w:r>
        <w:t>Der Beschwerdeführer lebt seit 1989 in der Schweiz und ist seit 2011 im Besitz einer Niederlassungsbewilligung. Die Gesuchstellerin reiste 1995 erstmals in die Schweiz ein und erhielt 2001 eine Aufenthaltsbewilligung</w:t>
      </w:r>
    </w:p>
    <w:p>
      <w:r>
        <w:t>F-1930/2024 Seite 6 zum Verbleib beim Ehemann. Im Jahr 2005 kehrte sie freiwillig mit ihren beiden in der Schweiz geborenen Töchtern nach Sri Lanka beziehungs- weise Indien zurück. Der Beschwerdeführer ersuchte das Migrationsamt des Kantons C._______ im Oktober 2016 um Erteilung einer Aufenthalts- bewilligung im Rahmen des Familiennachzugs für die Gesuchstellerin. Das Verwaltungsgericht des Kantons C._______ wies eine gegen die Ableh- nung des Familiennachzugsgesuchs erhobene Beschwerde mit Urteil vom</w:t>
      </w:r>
    </w:p>
    <w:p>
      <w:r>
        <w:rPr>
          <w:b/>
        </w:rPr>
        <w:t>E. 4.5</w:t>
      </w:r>
    </w:p>
    <w:p>
      <w:r>
        <w:t>Die 62-jährige Gesuchstellerin ist seit ihrer im Jahr 2017 erfolgten Rückkehr von Indien nach Sri Lanka in Vavuniya wohnhaft. Die beiden Töchter leben in Deutschland beziehungsweise Grossbritannien. Mit mut- masslich in Sri Lanka lebenden Geschwistern und weiteren Verwandten dürfte die Gesuchstellerin zwar über ein dortiges familiäres Beziehungs- netz verfügen. Sie machte aber keine Verpflichtungen oder gar Abhängig- keiten im familiären oder persönlichen Umfeld geltend, die besondere Ge- währ für eine Rückkehr nach Sri Lanka bieten könnten. Das Emigrationsri- siko ist noch erhöht, wenn – wie im vorliegenden Fall – durch die Anwe- senheit des Ehemanns in der Schweiz bereits ein soziales Beziehungsnetz besteht (vgl. BVGE 2014/1 E. 6.2.2; Urteil des BVGer F-2974/2023 vom 29. Februar 2024 E. 8.1).</w:t>
      </w:r>
    </w:p>
    <w:p>
      <w:r>
        <w:rPr>
          <w:b/>
        </w:rPr>
        <w:t>E. 4.6</w:t>
      </w:r>
    </w:p>
    <w:p>
      <w:r>
        <w:t>In Bezug auf die wirtschaftlichen Verhältnisse ist aktenkundig, dass die Gesuchstellerin keiner bezahlten Erwerbstätigkeit nachgeht. Gemäss ei- nem Bankkontoauszug verfügte sie am 8. Januar 2024 über ein Vermögen von 613'245 sri-lankischen Rupien (ca. Fr. 1'785.–). Das behauptete Ei- gentum an Grundstücken und die Einnahmen aus einem landwirtschaftli- chen Betrieb blieben gänzlich unbelegt. Von gefestigten wirtschaftlichen Verhältnissen ist vor diesem Hintergrund nicht auszugehen. Dies umso we- niger als die Gesuchstellerin als Hausfrau vom Beschwerdeführer regel- mässig finanziell unterstützt wird respektive von diesem abhängig ist.</w:t>
      </w:r>
    </w:p>
    <w:p>
      <w:r>
        <w:rPr>
          <w:b/>
        </w:rPr>
        <w:t>E. 4.7</w:t>
      </w:r>
    </w:p>
    <w:p>
      <w:r>
        <w:t>Angesichts der Tatsache, dass der Beschwerdeführer die kantonalen Behörden bereits zwei Mal erfolglos um Erteilung einer Aufenthaltsbewilli- gung für die Gesuchstellerin ersuchte, liegt bei ihr ein akzentuiertes Risiko</w:t>
      </w:r>
    </w:p>
    <w:p>
      <w:r>
        <w:t>F-1930/2024 Seite 7 vor, dass sie – einmal eingereist – erneut versuchen könnte, den Aufenthalt auf eine andere rechtliche Basis abzustützen. Dies umso mehr, als sie ge- genüber der Schweizer Botschaft in Colombo ausdrücklich den Wunsch nach einer erneuten Wohnsitznahme in der Schweiz geäussert hatte. Da- mit ist klar, dass die Gesuchstellerin – entgegen ihren Bekundungen – eben gerade nicht einen bloss zeitlich befristeten Besuchsaufenthalt, sondern gleichsam einen dauerhaften Verbleib in der Schweiz anstrebt. Weiter hat die kurz vor dem ordentlichen Pensionsalter stehende Gesuchstellerin ein zusehends steigendes Interesse am Verbleib in der Schweiz mit Blick auf die hohe Qualität der hiesigen Gesundheitsversorgung (vgl. Urteile des BVGer F-5724/2023 vom 21. Mai 2024 E. 6.1; F-4580/2023 vom 8. April 2024 E. 6.4.2). Die Vorinstanz ging vor diesem Hintergrund zu Recht davon aus, die fristgerechte Wiederausreise der Gesuchstellerin sei nicht hinrei- chend gesichert. Soweit der Beschwerdeführer vorbringt, die Gesuchstel- lerin sei bereits in den Jahren 2006, 2007 und 2020 in den Schengen- Raum eingereist und fristgerecht wieder ausgereist, ist festzuhalten, dass die Entscheidung über die Visumserteilung aufgrund der derzeitigen Situ- ation im Herkunftsland und der aktuellen persönlichen Umstände der ge- suchstellenden Person zu erfolgen hat. Zu einem früheren Zeitpunkt er- teilte Visa können somit nicht als Grundlage für eine neue Entscheidung herangezogen werden. Zu berücksichtigen ist in diesem Zusammenhang insbesondere, dass der Beschwerdeführer kurz nach der letzten Einreise der Gesuchstellerin in die Schweiz die kantonalen Behörden erneut um Familiennachzug ersuchte (siehe E. 4.4. hiervor). Daran zeigt sich zwei- felsfrei, dass der Beschwerdeführer als Ehemann der Gesuchstellerin ihren dauerhaften Verbleib in der Schweiz anstrebt. Ihre Wiederausreise ist mit- nichten gesichert, zumal ein Schengen-Visum zu Besuchszwecken nicht dazu verwendet werden darf, ein ausländerrechtliches Familiennachzugs- verfahren zu umgehen. 5. Im Ergebnis hat die Vorinstanz das nachgesuchte Visum für den Schen- gen-Raum zu Recht verweigert. Gründe humanitärer oder anderer Art, wel- che die Erteilung eines Visums mit räumlich beschränkter Gültigkeit zu rechtfertigen vermöchten, wurden nicht geltend gemacht und sind auch nicht ersichtlich. Die angefochtene Verfügung erweist sich als rechtmässig (Art. 49 VwVG). Die Beschwerde ist abzuweisen. 6. Entsprechend dem Verfahrensausgang sind die Kosten dem unterliegen- den Beschwerdeführer aufzuerlegen und auf Fr. 900.– festzusetzen (vgl.</w:t>
      </w:r>
    </w:p>
    <w:p>
      <w:r>
        <w:t>F-1930/2024 Seite 8 Art. 63 Abs. 1 VwVG i.V.m. Art. 1 ff. des Reglements vom 21. Februar 2008 über die Kosten und Entschädigungen vor dem Bundesverwaltungsgericht [VGKE, SR 173.320.2]). Sie sind durch den in gleicher Höhe geleisteten Kostenvorschuss gedeckt. 7. Das Bundesverwaltungsgericht entscheidet in der vorliegenden Angele- genheit endgültig (Art. 83 Bst. c Ziff. 1 BGG; vgl. dazu Urteil des BGer 2C_316/2024 vom 21. Juni 2024 E. 2).</w:t>
      </w:r>
    </w:p>
    <w:p>
      <w:r>
        <w:t>(Dispositiv: nachfolgende Seite)</w:t>
      </w:r>
    </w:p>
    <w:p>
      <w:r>
        <w:t>F-1930/2024 Seite 9</w:t>
      </w:r>
    </w:p>
    <w:p>
      <w:r>
        <w:rPr>
          <w:b/>
        </w:rPr>
        <w:t>E. 5</w:t>
      </w:r>
    </w:p>
    <w:p>
      <w:r>
        <w:t>Im Ergebnis hat die Vorinstanz das nachgesuchte Visum für den Schengen-Raum zu Recht verweigert. Gründe humanitärer oder anderer Art, welche die Erteilung eines Visums mit räumlich beschränkter Gültigkeit zu rechtfertigen vermöchten, wurden nicht geltend gemacht und sind auch nicht ersichtlich. Die angefochtene Verfügung erweist sich als rechtmässig (Art. 49 VwVG). Die Beschwerde ist abzuweisen.</w:t>
      </w:r>
    </w:p>
    <w:p>
      <w:r>
        <w:rPr>
          <w:b/>
        </w:rPr>
        <w:t>E. 6</w:t>
      </w:r>
    </w:p>
    <w:p>
      <w:r>
        <w:t>Entsprechend dem Verfahrensausgang sind die Kosten dem unterliegenden Beschwerdeführer aufzuerlegen und auf Fr. 900.- festzusetzen (vgl. Art. 63 Abs. 1 VwVG i.V.m. Art. 1 ff. des Reglements vom 21. Februar 2008 über die Kosten und Entschädigungen vor dem Bundesverwaltungsgericht [VGKE, SR 173.320.2]). Sie sind durch den in gleicher Höhe geleisteten Kostenvorschuss gedeckt.</w:t>
      </w:r>
    </w:p>
    <w:p>
      <w:r>
        <w:rPr>
          <w:b/>
        </w:rPr>
        <w:t>E. 7</w:t>
      </w:r>
    </w:p>
    <w:p>
      <w:r>
        <w:t>Das Bundesverwaltungsgericht entscheidet in der vorliegenden Angelegenheit endgültig (Art. 83 Bst. c Ziff. 1 BGG; vgl. dazu Urteil des BGer 2C_316/2024 vom 21. Juni 2024 E. 2). (Dispositiv: nachfolgende Seite)</w:t>
      </w:r>
    </w:p>
    <w:p>
      <w:r>
        <w:rPr>
          <w:b/>
        </w:rPr>
        <w:t>E. 8</w:t>
      </w:r>
    </w:p>
    <w:p>
      <w:r>
        <w:t>Mai 2019 ab. Am 20. Januar 2020 reiste die Gesuchstellerin mit einem Schengen-Visum (gültig vom 15. Januar 2020 bis 13. April 2020) in die Schweiz ein und kehrte aufgrund des weltweiten Ausbruchs der Infektions- krankheit COVID-19 erst am 28. April 2021 nach Sri Lanka zurück. Auf ein erneutes Gesuch des Beschwerdeführers um Familiennachzug vom 20. Februar 2020 trat das Migrationsamt des Kantons C._______ am 2. März 2020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