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F-1929/2020 vom 16. April 2020</w:t>
      </w:r>
    </w:p>
    <w:p>
      <w:r>
        <w:t>Bundesverwaltungsgericht, 2020-04-16, DE</w:t>
      </w:r>
    </w:p>
    <w:p>
      <w:r>
        <w:rPr>
          <w:b/>
        </w:rPr>
        <w:t xml:space="preserve">Quelle: </w:t>
      </w:r>
      <w:r>
        <w:t>https://mcp.opencaselaw.ch/entscheid/bvger_F-1929_2020</w:t>
      </w:r>
    </w:p>
    <w:p>
      <w:r>
        <w:t>FR: TAF F-1929/2020 du 16 avril 2020</w:t>
      </w:r>
    </w:p>
    <w:p>
      <w:r>
        <w:t>IT: TAF F-1929/2020 del 16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Asylverfahrens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 Schliesslich gilt das Prinzip der Überprüfung eines Asylgesuches durch einen einzigen Mitgliedstaat («one chance only»), welches der Vermeidung von multiplen Asylgesuchen in verschiedenen Staaten dient (Art. 3 Abs. 1 Dublin-III-VO).</w:t>
      </w:r>
    </w:p>
    <w:p>
      <w:r>
        <w:rPr>
          <w:b/>
        </w:rPr>
        <w:t>E. 5.1</w:t>
      </w:r>
    </w:p>
    <w:p>
      <w:r>
        <w:t>Ein Abgleich der Fingerabdrücke des Beschwerdeführers mit der «Eurodac»-Datenbank ergab, dass er unter anderem am 24. August 2015 in Schweden, am 23. August 2017 in Deutschland und am 22. Februar 2018 in Frankreich Asylgesuche gestellt hatte (SEM act. 6). Am 20. März 2020 ersuchte die Vorinstanz die französischen Behörden deshalb um Übernahme des Beschwerdeführers gestützt auf gestützt auf Art. 18 Abs. 1 Bst. b Dublin-III-VO (SEM act. 7). Diese stimmten dem Übernahmeersuchen am 24. März 2020 zu (SEM act. 9). Die grundsätzliche Zuständigkeit Frankreichs ist somit gegeben. Dies wird auf Beschwerdeebene auch nicht bestritten.</w:t>
      </w:r>
    </w:p>
    <w:p>
      <w:r>
        <w:rPr>
          <w:b/>
        </w:rPr>
        <w:t>E. 5.2</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In der Rechtsmitteleingabe vom 6. April 2020 wiederholte der Beschwerdeführer, bei einer Überstellung nach Frankreich würde ihn dieses Land nach Afghanistan zurückschicken, wo er vor Verfolgung nicht sicher wäre. Eine allfällige Rückführung nach Frankreich würde bei ihm deshalb zu Angst und Stress und dementsprechend einer starken Verschlechterung seines Gesundheitszustandes führen. Psychisch fühle er sich angeschlagen. Sodann habe er in Frankreich keinen Ort zum Übernachten gehabt. Wie sich verschiedenen Berichten entnehmen lasse, seien die Aufnahmekapazitäten in Frankreich nicht ausreichend, weshalb viele Asylsuchende auf der Strasse schlafen müssten. In den «informellen Lagern» des Nordens, aber auch in manchen «formellen Aufnahmestrukturen» sei die Einhaltung der elementarsten Hygienevorschriften nicht gewährleistet. Deren Nichteinhaltung erweise sich aufgrund der Corona-Pandemie jetzt als besonders problematisch. In Bezug auf das Gesundheitssystem habe die Schweizerische Flüchtlingshilfe (SFH) im Übrigen festgestellt, dass der Zugang zur Gesundheitsversorgung für Asylsuchende mit psychischen Erkrankungen nicht explizit geregelt und in der Praxis daher nach wie vor schwierig sei.</w:t>
      </w:r>
    </w:p>
    <w:p>
      <w:r>
        <w:rPr>
          <w:b/>
        </w:rPr>
        <w:t>E. 7.2</w:t>
      </w:r>
    </w:p>
    <w:p>
      <w:r>
        <w:t>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w:t>
      </w:r>
    </w:p>
    <w:p>
      <w:r>
        <w:rPr>
          <w:b/>
        </w:rPr>
        <w:t>E. 7.3</w:t>
      </w:r>
    </w:p>
    <w:p>
      <w:r>
        <w:t>Des Weiteren gibt es auch keine konkreten Hinweise für die Annahme, Frankreich beziehungsweise die Behörden von Finistère würden dem Beschwerdeführer dauerhaft die ihm gemäss Aufnahmerichtlinie zustehenden minimalen Lebensbedingungen vorenthalten. Bei einer allfälligen vorübergehenden Einschränkung - beispielsweise wegen der geltend gemachten fehlenden Übernachtungsmöglichkeiten - könnte er sich nötigenfalls an die französischen Behörden wenden und die ihm zustehenden Aufnahmebedingungen auf dem Rechtsweg einfordern (vgl. Art. 26 Aufnahmerichtlinie). Nichts zu seinen Gunsten abzuleiten vermag der Beschwerdeführer ferner aus den von ihm angegebenen Berichten von Nichtregierungsorganisationen zu unzureichenden Aufnahmekapazitäten. Abgesehen davon beziehen sich die zitierten Passagen auf Paris und andere grosse Städte, der Beschwerdeführer soll laut Zustimmung der französischen Behörden vom 24. März 2020 aber in der Präfektur Finistère im äussersten Westen des Landes untergebracht werden (vgl. SEM act. 9). Das Bundesverwaltungsgericht geht trotz der Kritik am französischen Asylsystem gemäss seiner konstanten Rechtsprechung davon aus, dass Asylsuchende in Frankreich die von der Aufnahmerichtlinie garantierten Grundleistungen erhalten und dort somit auch keine unmenschliche und erniedrigende Behandlung im Sinne von Art. 3 EMRK zu befürchten haben (vgl. zuletzt etwa Urteile des BVGer E-1563/2020 vom 26. März 2020 S. 6/7, D-1519/2020 vom 20. März 2020 S. 9, F-1342/2020 vom 12. März 2020 E. 4.2, F-612/2020 vom 11. Februar 2020 E. 5.2 oder F-282/2020 vom 23. Januar 2020 E. 7.3).</w:t>
      </w:r>
    </w:p>
    <w:p>
      <w:r>
        <w:rPr>
          <w:b/>
        </w:rPr>
        <w:t>E. 7.4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7.5</w:t>
      </w:r>
    </w:p>
    <w:p>
      <w:r>
        <w:t>Eine solche Konstellation ist vorliegend nicht gegeben. Wegen der geltend gemachten psychischen Probleme (Angst, Stress) hat sich der Beschwerdeführer, soweit ersichtlich, weder in Frankreich noch in der Schweiz je in ärztliche Behandlung begeben, weshalb er sich nur schon aus diesem Grund nicht auf die Feststellungen der SFH berufen kann. Auch konkrete Diagnosen liegen keine vor. Dementsprechend gelingt es dem Beschwerdeführer nicht nachzuweisen, dass er nicht reisefähig sei oder eine Überstellung seine Gesundheit ernsthaft gefährden würde. Sein Gesundheitszustand vermag eine Unzulässigkeit im Sinne dieser restriktiven Rechtsprechung nicht zu rechtfertigen.</w:t>
      </w:r>
    </w:p>
    <w:p>
      <w:r>
        <w:rPr>
          <w:b/>
        </w:rPr>
        <w:t>E. 7.6</w:t>
      </w:r>
    </w:p>
    <w:p>
      <w:r>
        <w:t>Im Übrigen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Im Hinblick auf die vorgenannten Ausführungen darf mithin davon ausgegangen werden, der Beschwerdeführer finde sowohl bei einer allfälligen Erkrankung an Covid-19 wie auch bezüglich seiner im Dublin-Verfahren vorgebrachten psychischen Probleme Zugang zu adäquater medizinischer Behandlung, sollte er auf solche angewiesen sein.</w:t>
      </w:r>
    </w:p>
    <w:p>
      <w:r>
        <w:rPr>
          <w:b/>
        </w:rPr>
        <w:t>E. 7.7</w:t>
      </w:r>
    </w:p>
    <w:p>
      <w:r>
        <w:t>Festzuhalten gilt es darüber hinaus, dass die mit der Überstellung beauftragten Behörden die Bedürfnisse des Beschwerdeführers - einschliesslich diejenigen der notwendigen medizinischen Versorgung, auch in Bezug auf die Corona-Problematik - berücksichtigen würden, sollte dies erforderlich sein (vgl. Art. 31 f. Dublin-III-VO). Das SEM hat dies in der angefochtenen Verfügung mit dem Hinweis auf eine allfällige Unterbrechung oder Verlängerung der Überstellungsfrist denn auch bereits signalisiert.</w:t>
      </w:r>
    </w:p>
    <w:p>
      <w:r>
        <w:rPr>
          <w:b/>
        </w:rPr>
        <w:t>E. 7.8</w:t>
      </w:r>
    </w:p>
    <w:p>
      <w:r>
        <w:t>Soweit der Beschwerdeführer in diesem Zusammenhang das Vorliegen von humanitären Gründen geltend macht, ist ergänzend anzumerken, dass das SEM gemäss Art. 106 Abs. 1 Bst. a AsylG bei der Anwendung von Art. 29a Abs. 3 AsylV 1 über einen Ermessensspielraum verfügt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7.9</w:t>
      </w:r>
    </w:p>
    <w:p>
      <w:r>
        <w:t>Nach dem Gesagten besteht kein Grund für eine Anwendung der Ermessensklauseln von Art. 17 Dublin-III-VO. Somit bleibt Frankreich der für die Behandlung des Asylgesuches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Nach dem Gesagten ist die Beschwerde abzuweisen und die Verfügung des SEM zu bestätigen.</w:t>
      </w:r>
    </w:p>
    <w:p>
      <w:r>
        <w:rPr>
          <w:b/>
        </w:rPr>
        <w:t>E. 10</w:t>
      </w:r>
    </w:p>
    <w:p>
      <w:r>
        <w:t>Der am 8. April 2020 angeordnete Vollzugsstopp fällt mit vorliegendem Urteil dahin.</w:t>
      </w:r>
    </w:p>
    <w:p>
      <w:r>
        <w:rPr>
          <w:b/>
        </w:rPr>
        <w:t>E. 11</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