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F-1919/2016 vom 6. Oktober 2016</w:t>
      </w:r>
    </w:p>
    <w:p>
      <w:r>
        <w:t>Bundesverwaltungsgericht, 2016-10-06, FR</w:t>
      </w:r>
    </w:p>
    <w:p>
      <w:r>
        <w:rPr>
          <w:b/>
        </w:rPr>
        <w:t xml:space="preserve">Quelle: </w:t>
      </w:r>
      <w:r>
        <w:t>https://mcp.opencaselaw.ch/entscheid/bvger_F-1919_2016</w:t>
      </w:r>
    </w:p>
    <w:p>
      <w:r>
        <w:t>FR: TAF F-1919/2016 du 6 octobre 2016</w:t>
      </w:r>
    </w:p>
    <w:p>
      <w:r>
        <w:t>IT: TAF F-1919/2016 del 6 ottobre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w:t>
      </w:r>
    </w:p>
    <w:p>
      <w:r>
        <w:t>Préalablement à l'examen au fond, le Tribunal tient à rappeler que le cadre litigieux de la présente procédure est circonscrit par le dispositif de la décision querellée à la seule question de l'interdiction d'entrée en Suisse, respectivement dans l'Espace Schengen, et qu'il ne concerne pas la question du renvoi du recourant, ni celle de l'exécution de son renvoi, ni encore moins celle de l'obtention d'une quelconque autorisation de séjour. Il sied dès lors de relever que les allégations formulées dans le recours concernant la question du renvoi au sens de l'art. 64 LEtr sont sans pertinence quant à l'issue de présent litige, le renvoi de Suisse de l'intéressé ayant au demeurant déjà fait l'objet d'une décision entrée en force (cf. consid. A). 4.1 Selon l'art. 67 al. 2 LEtr, l'ODM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4.2 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a été condamnée dans un État membre pour une infraction passible d'une peine privative de liberté d'au moins un an (cf. art. 24 par. 2 let. a SIS II, qui a remplacé l'ancien art. 96 par. 2 let. a CAAS).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du 26 août 2014 consid. 4 [non publié dans ATAF 2014/20] et C 2178/2013 du 9 avril 2014 con­sid. 3.2, et la jurisprudence citée). 4.3 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 4.4 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arrêt du Tribunal administratif fédéral C-847/2013 du 21 mars 2014 consid. 5.3.3, avec jurispr. cit.). 4.5 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Zünd/Ar­quint Hill, Beendigung der An­­wesenheit, Entfernung und Fernhaltung, in: Uebersax/Rudin/Hugi Yar/ Geiser [éd.], Ausländerrecht, Bâle 2009, p. 355 n. 8.80) L'autorité compétente examine selon sa libre appréciation si une interdiction d'entrée doit être prononcée. Elle doit donc procéder à une pondération méticuleuse de l'ensemble des intérêts en présence et respecter le principe de la proportionnalité (cf. Zünd / Arquint Hill, op.cit., ibidem).</w:t>
      </w:r>
    </w:p>
    <w:p>
      <w:r>
        <w:rPr>
          <w:b/>
        </w:rPr>
        <w:t>E. 5</w:t>
      </w:r>
    </w:p>
    <w:p>
      <w:r>
        <w:t>En l'occurrence, l'autorité inférieure a prononcé le 26 août 2015 une décision d'interdiction d'entrée d'une durée de 10 ans à l'encontre d'X._______. Elle a considéré qu'une telle mesure d'éloignement s'imposait en raison de la gravité des infractions commises par le prénommé durant sa présence sur territoire helvétique et de la mise en danger de la sécurité et l'ordre publics qui en découlait.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5.1</w:t>
      </w:r>
    </w:p>
    <w:p>
      <w:r>
        <w:t>L'examen du dossier montre que le comportement du prénommé durant sa présence sur territoire helvétique a donné lieu à cinq condamnations pénales, la plupart liées à des infractions à la LStup, dont notamment à une peine privative de liberté de 16 mois (cf. supra consid. C), l'intéressé s'étant rendu coupable, entre octobre 2009 et février 2015, de vente de boulettes de cocaïne, trafic de stupéfiants (cocaïne), détention de cocaïne, violation de domicile et séjour illégal. Certes, l'intéressé, dans son recours, a contesté s'être livré à un trafic de stupéfiants, malgré ce qui a été relevé par le Tribunal correctionnel de Genève dans le jugement du 9 juillet 2014. Cependant, ce jugement, comme toutes les autres condamnations pour infractions à la LStup, n'a pas fait l'objet de procédure d'opposition ou d'appel de la part de l'intéressé et est donc entré en force. Dès lors, le Tribunal de céans ne saurait prendre en considération les dénégations de ce dernier à ce propos. A ce stade, il s'impose donc de retenir que le recourant, par son comportement délictueux adopté à réitérées reprises, a indiscutablement attenté à la sécurité et à l'ordre publics en Suisse, de sorte qu'il remplit incontestablement les conditions d'application de l'art. 67 al. 2 let. a LEtr. Aussi la mesure d'interdiction d'entrée prononcée le 26 août 2015 est-elle manifestement justifiée dans son principe.</w:t>
      </w:r>
    </w:p>
    <w:p>
      <w:r>
        <w:rPr>
          <w:b/>
        </w:rPr>
        <w:t>E. 5.2</w:t>
      </w:r>
    </w:p>
    <w:p>
      <w:r>
        <w:t>Il convient encore de déterminer si X._______ constitue une menace grave pour la sécurité et l'ordre publics justifiant le prononcé d'une mesure d'éloignement allant au-delà de la durée maximale de cinq ans prévue à l'art. 67 al. 3 1ère phrase LEtr.</w:t>
      </w:r>
    </w:p>
    <w:p>
      <w:r>
        <w:rPr>
          <w:b/>
        </w:rPr>
        <w:t>E. 5.2.1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précité consid. 6.2]).</w:t>
      </w:r>
    </w:p>
    <w:p>
      <w:r>
        <w:rPr>
          <w:b/>
        </w:rPr>
        <w:t>E. 5.2.2</w:t>
      </w:r>
    </w:p>
    <w:p>
      <w:r>
        <w:t>A cet égard, force est de constater une fois encore que les infractions imputées au recourant sont objectivement graves, tout particulièrement celle ayant entraîné une peine privative de liberté de 16 mois, comme déjà exposé ci-dessus. Ces agissements coupables, notamment liés aux infractions à la LStup, constituent indéniablement une menace caractérisée contre les biens juridiquement protégés (en l'occurrence la santé), ainsi qu'un trouble à l'ordre social, et affectent un intérêt fondamental de la société. C'est ici le lieu de rappeler que la pratique sévère adoptée par les autorité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en dépit de l'atteinte à la vie familiale qu'elle implique (ATF 129 II 215 consid. 7.3 p. 222, ATF 125 II 521 consid. 4a/aa p. 526s.; cf. également l'arrêt du Tribunal fédéral 2C_351/ 2008 du 22 octobre 2008 consid. 2.3).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(cf. arrêt du Tribunal fédéral 2C_227/2011 du 25 août 2011 consid. 3.1 et la jurisprudence citée);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arrêt du Tribunal fédéral 2C_313/2010 du 28 juillet 2010 consid. 5.2; arrêt du Tribunal administratif fédéral C-8304/2007 du 2 septembre 2009 consid. 9.2 et jurisprudence citée). En l'occurrence, l'intéressé s'est notamment livré à un trafic de stupéfiants (cocaïne) et a été interpellé alors qu'il tentait de vendre des boulettes de cocaïne (cf. condamnations des 4 novembre 2009, 20 août 2012 et 9 juillet 2014). A cela s'ajoute que l'intéressé ne s'est nullement amendé, puisqu'après sa première condamnation le 4 novembre 2009, soit à peine trois mois après son entrée sur le territoire suisse, il a commis de nouvelles infractions à la LStup ayant donné lieu à de nouvelles condamnations (20 août 2012, 9 juillet 2014 et 3 février 2015). Enfin, l'intéressé n'a pas respecté la décision de renvoi de Suisse prononcée à son endroit par l'ODM le 28 octobre 2009, puisqu'il est revenu illégalement et a séjourné sur le territoire suisse sans être titulaire d'une quelconque autorisation, de sorte qu'il a été condamné par le Ministère public du canton de Genève les 20 août 2012, 8 octobre 2014 et 3 février 2015 pour séjour illégal (cf. consid. C). Apprécié sous l'angle de la protection de l'ordre et de la prévention des infractions, le comportement délictueux du recourant nécessite donc sans conteste une intervention adéquate des autorités fédérales à son endroit.</w:t>
      </w:r>
    </w:p>
    <w:p>
      <w:r>
        <w:rPr>
          <w:b/>
        </w:rPr>
        <w:t>E. 5.3</w:t>
      </w:r>
    </w:p>
    <w:p>
      <w:r>
        <w:t>Au vu de la nature, de la gravité et du nombre d'actes délictueux commis (cf. consid. C), le Tribunal de céans ne saurait poser un pronostic favorable quant au comportement futur de l'intéressé et arrive à la conclusion que les conditions émises à l'art. 67 al. 3 2ème phrase LEtr sont en l'espèce réunies et justifient l'éloignement d'X._______, en raison de l'énergie criminelle déployée, pour une durée sensiblement supérieure à cinq ans. Ce pronostic est encore renforcé par le fait que le recourant, après avoir bénéficié d'une libération conditionnelle le 14 août 2014 suite à l'exécution de sa peine privative de liberté de 16 mois, a à nouveau commis de nouvelles infractions (violation de domicile, séjour illégal, contravention à la LStup), lesquelles ont fait l'objet de deux condamnations, les 8 octobre 2014 et 3 février 2015 (cf. ci-dessus, consid. C). Ce comportement dénote l'incapacité du prénommé à se conformer aux règles et aux décisions et a pour conséquence de conforter l'autorité de céans dans son appréciation du risque pour la sécurité et l'ordre publics en Suisse.</w:t>
      </w:r>
    </w:p>
    <w:p>
      <w:r>
        <w:rPr>
          <w:b/>
        </w:rPr>
        <w:t>E. 6</w:t>
      </w:r>
    </w:p>
    <w:p>
      <w:r>
        <w:t>Il convient encore d'examiner si la mesure d'éloignement prise par l'autorité inférieure (dix ans) satisfait aux principes de la proportionnalité et de l'égalité de traitement.</w:t>
      </w:r>
    </w:p>
    <w:p>
      <w:r>
        <w:rPr>
          <w:b/>
        </w:rPr>
        <w:t>E. 6.1.1</w:t>
      </w:r>
    </w:p>
    <w:p>
      <w:r>
        <w:t>A cet égard, il importe tout d'abord de relever que, selon les préci­sions apportées récemment par la jurisprudence sur la durée de validité des interdictions d'entrée motivées par l'existence d'une menace grave pour la sécurité et l'ordre publics suisses (art. 67 al. 3 LEtr), cette durée sera fixée sur une période dépassant 5 ans et pouvant s'étendre au maximum à 15 ans, voire à 20 ans en cas de récidive (cf. ATAF 2014/20 consid. 7).</w:t>
      </w:r>
    </w:p>
    <w:p>
      <w:r>
        <w:rPr>
          <w:b/>
        </w:rPr>
        <w:t>E. 6.1.2</w:t>
      </w:r>
    </w:p>
    <w:p>
      <w:r>
        <w:t>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 6.2.1 Concernant les deux premières règles susmentionnées, il est indé­niable, en l'absence, actuellement, d'un pronostic favorable quant au risque de réitération des types d'infractions commises par le re­courant (cf. consid. 5.3), que l'éloignement de ce dernier du territoire suisse est apte et nécessaire pour atteindre les buts visés, à savoir protéger l'ordre et la sé­curité publics. 6.2.2 S'agissant de la règle de la proportionnalité au sens étroit, il sied de procéder à une pesée des intérêts en présence, à savoir d'un côté l'inté­rêt privé d'X._______ à pouvoir entrer librement sur le territoire suisse, et d'un autre côté, l'intérêt public à le tenir éloigné afin de protéger l'ordre et la sécurité publics. L'interdiction d'entrée en Suisse prise à l'endroit du recourant apparaît également justifiée sous l'angle du principe de la proportionnalité au sens étroit. S'agissant de l'intérêt public, il est à noter que l'interdiction d'entrée prononcée à l'endroit du prénommé est une mesure administrative de contrôle qui tend à le tenir éloigné de la Suisse où il a contrevenu aux prescriptions légales en commettant des infractions revêtant une gravité particulière (cf. pour le détail des infractions, consid. C). Il en va de l'intérêt de l'Etat à voir respecter l'ordre établi et la législation en vigueur (cf. arrêt du Tribunal administratif fédéral C-4334/2014 du 19 mai 2015 consid. 7.2 et la référence citée). Après la condamnation prononcée le 9 juillet 2014 par le Tribunal correctionnel du canton de Genève, le recourant, bénéficiant d'une libération conditionnelle, au lieu de s'amender, a continué à commettre des infractions sur le territoire suisse - infractions pour lesquelles il a été derechef condamné (cf. consid. C) - et y a poursuivi son séjour en ne respectant pas la décision de renvoi prononcée à son endroit par l'ODM, ce qui a entraîné deux nouvelles condamnations par le Ministère public du canton de Genève (cf. consid. C). Les nombreuses infractions constatées, ainsi que l'attitude, au demeurant inadmissible, d'X._______ quant à la persistance de sa présence illégale sur le territoire suisse, rendent illusoires tout pronostic positif quant au comportement futur du prénommé, lequel s'emploie, depuis sa sortie de prison en 2014, à ignorer la décision de renvoi de Suisse, et renforcent encore l'intérêt public à l'éloigner durablement de Suisse, alors même qu'il a admis à plusieurs reprises séjourner en Suisse sans être au bénéfice d'une autorisation quelconque (cf. procès-verbaux d'audition des 29 février 2016, 2 février 2015 et 7 octobre 2014, figurant dans le dossier cantonal). S'agissant de l'intérêt privé de l'intéressé à pouvoir revenir librement en Suisse, le Tribunal constate que le recourant, célibataire, n'a aucune attache particulière en ce pays, tant sur le plan privé que socio-professionnel, puisque ce dernier ne possède aucun membre de sa famille sur territoire helvétique, n'y a jamais exercé d'activité lucrative régulière et y a vécu sans domicile fixe grâce à l'aide d'amis sur lesquels il refusait de dire quoi que ce soit (cf. procès-verbaux d'audition des 29 février 2016, 2 février 2015 et 7 octobre 2014).</w:t>
      </w:r>
    </w:p>
    <w:p>
      <w:r>
        <w:rPr>
          <w:b/>
        </w:rPr>
        <w:t>E. 6.3</w:t>
      </w:r>
    </w:p>
    <w:p>
      <w:r>
        <w:t>En conséquence, après une pondération des intérêts publics et pri­vés en présence et au regard de l'ensemble des circonstances, en particulier de la gravité des faits reprochés au recourant (qui ont été sanctionnés par des peines privatives de liberté) et de l'importance du risque de récidive que laisse redouter son passé judiciaire, le Tribunal estime que la durée de l'interdiction d'entrée prononcée le 26 août 2015 à son endroit (qui est vala­ble jusqu'au 25 août 2025, soit 10 ans) ne saurait en aucun cas être réduite.</w:t>
      </w:r>
    </w:p>
    <w:p>
      <w:r>
        <w:rPr>
          <w:b/>
        </w:rPr>
        <w:t>E. 7</w:t>
      </w:r>
    </w:p>
    <w:p>
      <w:r>
        <w:t>Le SEM a par ailleurs ordonné l'inscription de l'interdiction d'entrée dans le SIS. Ainsi que cela ressort du dossier, X._______ est un ressortissant d'un pays tiers au sens de la législation de l'Union européenne (cf. supra consid. 4.2).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4.2 in fine).</w:t>
      </w:r>
    </w:p>
    <w:p>
      <w:r>
        <w:rPr>
          <w:b/>
        </w:rPr>
        <w:t>E. 8</w:t>
      </w:r>
    </w:p>
    <w:p>
      <w:r>
        <w:t>Enfin, dans le cas d'espèce, c'est à bon droit que le SEM n'a pas fait application de l'at. 67 al. 5 LEtr. En effet, il ne ressort pas du dossier que des raisons humanitaires ou d'autres motifs importants puissent justifier le renoncement au prononcé d'une mesure d'éloignement au vu de la nature, de la fréquence et de la gravité des infractions commises par le recourant.</w:t>
      </w:r>
    </w:p>
    <w:p>
      <w:r>
        <w:rPr>
          <w:b/>
        </w:rPr>
        <w:t>E. 9</w:t>
      </w:r>
    </w:p>
    <w:p>
      <w:r>
        <w:t>En conséquence, le Tribunal est amené à conclure que la décision querellée est conforme au droit (cf. art. 49 PA). Partant, le recours doit être rejeté. 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