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F-1917/2023 vom 19. April 2023</w:t>
      </w:r>
    </w:p>
    <w:p>
      <w:r>
        <w:t>Bundesverwaltungsgericht, 2023-04-19, DE</w:t>
      </w:r>
    </w:p>
    <w:p>
      <w:r>
        <w:rPr>
          <w:b/>
        </w:rPr>
        <w:t xml:space="preserve">Quelle: </w:t>
      </w:r>
      <w:r>
        <w:t>https://mcp.opencaselaw.ch/entscheid/bvger_F-1917_2023</w:t>
      </w:r>
    </w:p>
    <w:p>
      <w:r>
        <w:t>FR: TAF F-1917/2023 du 19 avril 2023</w:t>
      </w:r>
    </w:p>
    <w:p>
      <w:r>
        <w:t>IT: TAF F-1917/2023 del 19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daher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Rahmen des in Art. 21 und 22 Dublin-III-VO geregelten - und hier interessierenden - sogenannten Aufnahmeverfahrens (engl.: take charge) sind zur Bestimmung des zuständigen Mitgliedstaates die in Kapitel III (Art. 8-15 Dublin-III-VO)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w:t>
      </w:r>
    </w:p>
    <w:p>
      <w:r>
        <w:rPr>
          <w:b/>
        </w:rPr>
        <w:t>E. 5</w:t>
      </w:r>
    </w:p>
    <w:p>
      <w:r>
        <w:t>Die Beschwerdeführenden waren unbestrittenermassen am 4. November 2022 in Kroatien rechtswidrig in das Hoheitsgebiet der Dublin-Mitgliedstaaten eingereist, bevor sie am 29. November 2022 in der Schweiz um Asyl nachsuchten. Das Zuständigkeitskriterium des rechtswidrigen Grenzübertritts gemäss Art. 13 Abs. 1 Dublin-III-VO verweist somit auf Kroatien. Ein höherrangiges Kriterium des Kapitels III, das auf einen anderen Dublin-Mitgliedstaat verweisen würde, ist nicht erkennbar. Da die kroatischen Behörden der Aufnahme des Beschwerdeführers gestützt auf Art. 13 Abs. 1 Dublin-III-VO bzw. Art. 18 Abs. 1 Bst. a Dublin-III-VO zugestimmt haben, steht die grundsätzliche Zuständigkeit Kroatiens fest. Nachfolgend ist zu prüfen, ob Gründe für einen Übergang der Zuständigkeit von Kroatien auf die Schweiz vorliegen.</w:t>
      </w:r>
    </w:p>
    <w:p>
      <w:r>
        <w:rPr>
          <w:b/>
        </w:rPr>
        <w:t>E. 6</w:t>
      </w:r>
    </w:p>
    <w:p>
      <w:r>
        <w:t>Als mögliche Rechtsgrundlage für einen Zuständigkeitsübergang auf die Schweiz kommt Art. 3 Abs. 2 Dublin-III-VO in Betracht:</w:t>
      </w:r>
    </w:p>
    <w:p>
      <w:r>
        <w:rPr>
          <w:b/>
        </w:rPr>
        <w:t>E. 6.1</w:t>
      </w:r>
    </w:p>
    <w:p>
      <w:r>
        <w:t>Art. 3 Abs. 2 Unterabsatz 2 und 3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6.2</w:t>
      </w:r>
    </w:p>
    <w:p>
      <w:r>
        <w:t>Die Beschwerdeführenden machen geltend, dass in Kroatien solche systemischen Mängel vorlägen. Sie verweisen darauf, dass Frauen im kroatischen Asylsystem mit sexuellen Missbräuchen rechnen müssten, wie sie die Beschwerdeführerin bereits erlebt habe, als sie sich vor männlichen Polizisten nackt habe ausziehen müssen (Beschwerde Rz. 20) bzw. von diesen in Gegenwart anderer Männer nackt ausgezogen worden sei (Beschwerde Rz. 6). Ferner verweisen sie auf die in Kroatien vorkommenden Pushbacks, die sich nicht nur auf die Grenzregion beschränkten. Auch im Landesinneren würden Personen willkürlich verhaftet und nach Bosnien und Herzegowina verschleppt (Kettenabschiebung). Diese Verhaltensweisen seien relevant im Hinblick auf die Frage, ob und wie das Land seinen völkerrechtlichen Verpflichtungen nachkomme. Personen, die Opfer von Polizeigewalt in Kroatien geworden seien, hätten zudem kaum Chancen, durch Beschreiten des innerstaatlichen Rechtswegs Recht zu erhalten. Schliesslich sei auch der Zugang von asylsuchenden Personen zur psychiatrischen und psychologischen Behandlung unzureichend. Die gesamte Unterstützung und Behandlung von Personen mit psychischen Problemen werde von NGOs durchgeführt.</w:t>
      </w:r>
    </w:p>
    <w:p>
      <w:r>
        <w:rPr>
          <w:b/>
        </w:rPr>
        <w:t>E. 6.3</w:t>
      </w:r>
    </w:p>
    <w:p>
      <w:r>
        <w:t>In seiner bisherigen Rechtsprechung verneinte das Bundesverwaltungsgericht systemische Mängel des kroatischen Asyl- und Aufnahmesystems. Es ging davon aus, dass Dublin-Rückkehrende Zugang zum kroatischen Asyl- und Aufnahmesystem haben. Das gilt unabhängig davon, ob sie im Rahmen eines Aufnahmeverfahrens gemäss Art. 21 ff. Dublin-III-VO oder eines Wiederaufnahmeverfahrens gemäss Art. 23 ff. Dublin-III-VO (engl.: take back) nach Kroatien überstellt werden (vgl. dazu die Referenzurteile des BVGer E-3078/2019 vom 12. Juli 2019 und D-1611/2016 vom 22. März 2016). In seinem jüngsten, zur Publikation als Referenzurteil bestimmten Entscheid E-1488/2020 vom 22. März 2023 untersuchte das Bundesverwaltungsgericht, ob angesichts der andauernden Berichte über unzulässige Pushbacks (direkt an der kroatischen Grenze oder vom Inland aus) und die dabei praktizierte exzessive Gewaltanwendung durch kroatische Behörden an dieser Rechtsprechung festgehalten werden kann. Gestützt auf eine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(ebenda E. 7-9). Es besteht kein Grund, aus Anlass der vorliegenden Streitsache von dieser Beurteilung abzuweichen.</w:t>
      </w:r>
    </w:p>
    <w:p>
      <w:r>
        <w:rPr>
          <w:b/>
        </w:rPr>
        <w:t>E. 6.4</w:t>
      </w:r>
    </w:p>
    <w:p>
      <w:r>
        <w:t>Für eine Übernahme der Zuständigkeit Kroatiens gestützt auf Art. 3 Abs. 2 Dublin-III-VO besteht nach dem Gesagten kein Anlass.</w:t>
      </w:r>
    </w:p>
    <w:p>
      <w:r>
        <w:rPr>
          <w:b/>
        </w:rPr>
        <w:t>E. 7</w:t>
      </w:r>
    </w:p>
    <w:p>
      <w:r>
        <w:t>Als weitere potentielle Rechtsgrundlage für einen Zuständigkeits-übergang auf die Schweiz ist Art. 17 Abs. 1 Dublin-III-VO zu prüfen.</w:t>
      </w:r>
    </w:p>
    <w:p>
      <w:r>
        <w:rPr>
          <w:b/>
        </w:rPr>
        <w:t>E. 7.1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7.2</w:t>
      </w:r>
    </w:p>
    <w:p>
      <w:r>
        <w:t>Bei der Beurteilung eines Selbsteintritts gilt es zu beachten, dass Kroatien Signatarstaat der EMRK, des Übereinkommens vom 10. Dezember 1984 gegen Folter und andere grausame, unmenschliche oder erniedrigende Behandlung oder Strafe (FoK, SR 0.105), des Abkommens vom 28. Juli 1951 über die Rechtsstellung der Flüchtlinge (FK, SR 0.142.30), des Zusatzprotokolls zur FK vom 31. Januar 1967 (SR 0.142.301) sowie - von den Beschwerdeführenden besonders thematisiert - des Übereinkommens vom 20. November 1989 über die Rechte des Kindes (Kinderrechtskonvention, KRK, SR 0.107) und des Übereinkommens zur Beseitigung jeder Form von Diskriminierung der Frau vom 18. Dezember 1979 (CEDAW, SR 0.108) ist. Ferner wird Kroatien durch die Richtlinien des Europäischen Parlaments und des Rates 2013/32/EU vom 26. Juni 2013 zu gemeinsamen Verfahren für die Zuerkennung und Aberkennung des internationalen Schutzes (Verfahrensrichtlinie, ABl. L 180/96 vom 29.6.2013) sowie 2013/33/EU vom 26. Juni 2013 zur Festlegung von Normen für die Aufnahme von Personen, die internationalen Schutz beantragen (Aufnahmerichtlinie, ABl. L 180/60 vom 29.6.2013) gebunden.</w:t>
      </w:r>
    </w:p>
    <w:p>
      <w:r>
        <w:rPr>
          <w:b/>
        </w:rPr>
        <w:t>E. 7.3</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1883/2023 vom 12. April 2023 E. 8.2; F-647/2023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w:t>
      </w:r>
    </w:p>
    <w:p>
      <w:r>
        <w:t>Die Beschwerdeführenden berufen sich in diesem Zusammenhang auf eigene negative Erfahrungen mit den kroatischen Behörden anlässlich ihrer illegalen Einreise nach Kroatien.</w:t>
      </w:r>
    </w:p>
    <w:p>
      <w:r>
        <w:rPr>
          <w:b/>
        </w:rPr>
        <w:t>E. 8.1</w:t>
      </w:r>
    </w:p>
    <w:p>
      <w:r>
        <w:t>Die Beschwerdeführenden erklärten anlässlich des persönlichen Gesprächs nach Art. 5 Dublin-III-VO, sie beide und weitere Personen seien in Kroatien gedemütigt, nackt ausgezogen und geschlagen worden, Frauen und Männer gemischt. Hunde seien auf sie gehetzt worden, es seien Warnschüsse in die Luft gefeuert worden. Sie seien anschliessend auf einen Polizeiposten verbracht und dort gezwungen worden, Fingerabdrücke abzugeben. Man habe ihnen einen Zettel überreicht, wonach sie Kroatien innert sieben Tagen verlassen müssten. Kroatien sei kein ruhiges Land, und Kroaten würden dunkelhäutige Leute nicht mögen. Sie alarmierten immer die Polizei. Daher sei Kroatien kein gutes Land für sie.</w:t>
      </w:r>
    </w:p>
    <w:p>
      <w:r>
        <w:rPr>
          <w:b/>
        </w:rPr>
        <w:t>E. 8.2</w:t>
      </w:r>
    </w:p>
    <w:p>
      <w:r>
        <w:t>Es soll nicht in Abrede gestellt werden, dass die Beschwerdeführenden direkt nach ihrer illegalen Einreise in Kroatien schwierigen Verhältnissen ausgesetzt waren, auch wenn ihre Vorbringen stereotyp und allgemein gehalten sind und insofern eher nicht auf tatsächlich Erlebtes hindeuten. Hauptsächlich aber ist hervorzuheben, dass sich die Beschwerdeführenden nach einer von den kroatischen Behörden autorisierten Dublin-Überstellung nach Kroatien in einer grundsätzlich anderen Situation befinden würden, als derjenigen, in der sie sich unmittelbar nach ihrer ersten illegalen Einreise befanden. Sie hätten insbesondere Zugang zum Asylverfahren und den entsprechenden Aufnahmestrukturen. Aus den geschilderten Erlebnissen können daher keine unmittelbaren Schlüsse auf die Bedingungen gezogen werden, denen die Beschwerdeführenden bei einer Überstellung nach Kroatien in den dortigen Aufenthaltsstrukturen ausgesetzt wären.</w:t>
      </w:r>
    </w:p>
    <w:p>
      <w:r>
        <w:rPr>
          <w:b/>
        </w:rPr>
        <w:t>E. 8.3</w:t>
      </w:r>
    </w:p>
    <w:p>
      <w:r>
        <w:t>Mit ihren Ausführungen zu den Vorkommnissen bei ihrer illegalen Einreise nach Kroatien haben die Beschwerdeführenden somit gesamthaft betrachtet nichts vorgebracht, was die Vermutung rechtsgenügend erschüttern könnte, dass sie nach einer Überstellung nach Kroatien von den dortigen Behörden in einer völker- und gemeinschaftsrechtskonformen Weise behandelt würden. Unter den gegebenen Umständen besteht auch kein Anlass, individuelle Zusicherungen der kroatischen Behörden einzuholen.</w:t>
      </w:r>
    </w:p>
    <w:p>
      <w:r>
        <w:rPr>
          <w:b/>
        </w:rPr>
        <w:t>E. 9</w:t>
      </w:r>
    </w:p>
    <w:p>
      <w:r>
        <w:t>Die Beschwerdeführenden berufen sich des Weiteren auf ihren schlechten gesundheitlichen Zustand.</w:t>
      </w:r>
    </w:p>
    <w:p>
      <w:r>
        <w:rPr>
          <w:b/>
        </w:rPr>
        <w:t>E. 9.1</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9.2</w:t>
      </w:r>
    </w:p>
    <w:p>
      <w:r>
        <w:t>In der Rechtsmitteleingabe führen die Beschwerdeführenden zum medizinischen Sachverhalt aus, sie hätten gesundheitliche Probleme und seien dringend auf ärztliche Behandlung angewiesen. Der Beschwerdeführer leide an Tuberkulose, Herzproblemen und Asthma. Ferner leide er akut unter Hodenhochstand, was eine zeitnahe Behandlung dringend erfordere, um Hodentumor und Unfruchtbarkeit zu verhindern. In der Schweiz seien seine gesundheitlichen Probleme nie richtig untersucht worden. Stattdessen habe er nur Schmerzmittel erhalten. Die Beschwerdeführerin ihrerseits leide seit den Ereignissen in Kroatien an inneren Blutungen sowie Unterleibschmerzen. Weiter sei bei ihr eine Chlamydien-Infektion diagnostiziert, für die sie gegenwärtig in Therapie sei. Die Beschwerdeführerin sei schwanger - zurzeit befinde sie sich in der 18. Schwangerschaftswoche - und aufgrund dessen von Zeit zu Zeit krank. Bereits zweimal habe sie wegen Schwangerschaftsbeschwerden notfallmässig ins Spital eingeliefert werden müssen. Zum Beweis reichen die Beschwerdeführenden bereits bei den Akten der Vorinstanz befindliche Medizinalakten ein sowie zwei an die Rechtsvertretung gerichtete E-Mails, in denen die Beschwerdeführerin knapp auf ihre gesundheitlichen Probleme und die ihres Ehemanns, des Beschwerdeführers, eingeht.</w:t>
      </w:r>
    </w:p>
    <w:p>
      <w:r>
        <w:rPr>
          <w:b/>
        </w:rPr>
        <w:t>E. 9.3</w:t>
      </w:r>
    </w:p>
    <w:p>
      <w:r>
        <w:t>Dem Beschwerdeführer wurde anlässlich seines Dublin-Gesprächs Gelegenheit gegeben, sich zum medizinischen Sachverhalt zu äussern, wovon er auch Gebrauch machte. Eine Tuberkuloseerkrankung erwähnte er jedoch weder bei dieser Gelegenheit noch zu einem späteren Zeitpunkt. Stattdessen berichtete er unspezifisch über eine Reihe von gesundheitlichen Beschwerden. Er habe, so der Beschwerdeführer, viele psychische Probleme, er sei sehr gestresst. Der Beschwerdeführer führte weiter aus, dass er an sechs Krankheiten leide, von denen aber nur zwei aktuell behandelt würden. Er würde «so etwas wie ein Geschwür» bei den Rippen spüren, das man ertasten könne, und er fühle in der Herzgegend einen stechenden Schmerz. Er habe auch Asthma, das aber jetzt behandelt werde. Einer seiner Hoden würde «verschwinden», der andere sei noch gut, der Arzt habe jedoch nichts unternommen. Er sei nicht einmal richtig untersucht worden. Schliesslich habe er «Probleme mit den Arm- und Beinmuskeln», seit er zwei Monate habe laufen müssen. Trotz der Vielzahl der geltend gemachten gesundheitlichen Beschwerden ist jedoch nicht aktenkundig, dass der Beschwerdeführer deshalb in den seit der Ankunft in der Schweiz vergangenen vier Monaten jemals die Pflege am Bundesasylzentrum kontaktiert hätte. Dies steht im auffälligen Gegensatz zu seiner Ehefrau, der Beschwerdeführerin, die von dieser Möglichkeit regen Gebrauch machte (vgl. dazu E. 9.4), was dem Beschwerdeführer nicht entgangen sein konnte. So ist es beispielsweise aktenkundig, dass der Beschwerdeführer am 13. März 2023 wegen Beschwerden seiner Ehefrau selbst bei der Pflege am Bundesasylzentrum erschien. Auch reichte der Beschwerdeführer bis zum heutigen Zeitpunkt keinen ärztlichen Bericht zu seinen zahlreichen gesundheitlichen Beschwerden ein. Die angebliche Tuberkuloseerkrankung wird schliesslich erstmals auf Rechtsmittelebene ins Verfahren eingebracht. Die entsprechende Behauptung stützt sich ausschliesslich auf ein E-Mail der Beschwerdeführerin an die Rechtsvertretung vom 6. April 2023, in dem diese ohne jede weitere Substantiierung erwähnt wird.</w:t>
      </w:r>
    </w:p>
    <w:p>
      <w:r>
        <w:rPr>
          <w:b/>
        </w:rPr>
        <w:t>E. 9.4</w:t>
      </w:r>
    </w:p>
    <w:p>
      <w:r>
        <w:t>Die Beschwerdeführerin ihrerseits brachte anlässlich ihres Dublin-Gesprächs vor, sie habe Schwierigkeiten mit dem Kopf. Eine Seite würde schmerzen, und sie könne nicht richtig hören. Wenn sie lange sitze, habe sie Schmerzen an der rechten Seite des Oberkörpers. Zudem erwähnte sie ihre Schwangerschaft. Bei den Akten der Vorinstanz liegen verschiedene medizinische Unterlagen und Berichte zur gesundheitlichen Situation der Beschwerdeführerin (medizinische Dokumentation der Pflege am Bundesasylzentrum mit Einträgen von 27. Dezember 2022 bis 14. März 2023, SEM-act. 39, Konsultationsbericht des Inselspitals Bern vom 3. Februar 2023, SEM-act. 35, Bericht der Frauenklinik Thun vom 23. Februar 2023 über eine Notfallkonsultation vom gleichen Datum, SEM-act. 39). Ihnen ist zu entnehmen, dass bei der Beschwerdeführerin eine Chlamydien-Infektion festgestellt wurde, derentwegen sie und ihr Ehemann, der Beschwerdeführer, medikamentös behandelt wurden. Aktenkundig ist ferner, dass die Beschwerdeführerin bei der Pflege des Bundesasylzentrums regelmässig wegen Appetitlosigkeit, Rückenschmerzen, Unterleibschmerzen, vaginaler Blutungen, Übelkeit, Schwindel, Kopfschmerzen und Verstopfung vorsprach. Auch meldete sie sich mehrfach wegen ihrer Schwangerschaft. Am 3. und 23. Februar 2023 suchte die Beschwerdeführerin wegen Unterleibsschmerzen und vaginaler Blutungen notfallmässig das Spital auf. Die bei dieser Gelegenheit durchgeführten gynäkologischen Untersuchungen ergaben jedoch keine Besonderheiten, und der Verlauf der Schwangerschaft wurde als normal beurteilt. Die von der Beschwerdeführerin bei beiden Notfallkonsultationen geschilderten heftigen Unterleibsschmerzen interpretierten die behandelnden Ärzte anlässlich der zweiten Notfallkonsultation als am ehesten von einer Obstipation (Verstopfung) herrührend. Nach Durchführung eines Einlaufs konnte die Beschwerdeführerin in einem schmerzgelinderten Zustand entlassen werden. Hinweise auf ersthafte psychische Probleme können den Medizinalakten nicht entnommen werden.</w:t>
      </w:r>
    </w:p>
    <w:p>
      <w:r>
        <w:rPr>
          <w:b/>
        </w:rPr>
        <w:t>E. 9.5</w:t>
      </w:r>
    </w:p>
    <w:p>
      <w:r>
        <w:t>Unter den gegebenen Umständen können die gesundheitlichen Beschwerden, soweit sie überhaupt belegt oder zumindest glaubwürdig dargelegt werden, nicht als derart schwerwiegend betrachtet werden, dass die Beschwerdeführenden im Falle einer Überstellung nach Kroatien mit dem Risiko einer ernsten, raschen und unwiederbringlichen Verschlechterung des Gesundheitszustands rechnen müssten. Kroatien verfügt im Übrigen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 Es wurde bereits ausgeführt, dass mangels systemischer Mängel im Sinne von Art. 3 Abs. 2 Dublin-III-VO vermutungsweise davon ausgegangen werden kann, dass Kroatien seinen völker- und gemeinschaftsrechtlichen Verpflichtungen nachkommt (vgl. oben E. 7.3). Nach dem Gesagten sind keine konkreten und ernsthaften Hinweise erkennbar, welche diese Vermutung rechtsgenügend erschüttern und die Annahme rechtfertigen könnten, dass Kroatien den Beschwerdeführenden nach deren Überstellung dorthin den Zugang zur erforderlichen medizinischen und psychologischen Betreuung in Verletzung seiner völker- und gemeinschaftsrechtlichen Verpflichtungen verweigern würde. Zusammenfassend kann auch ohne weiterführende medizinische Abklärungen davon ausgegangen werden, dass eine Überstellung der Beschwerdeführenden nach Kroatien keine Verletzung des Art. 3 EMRK zur Folge hätte. Ihr Gesundheitszustand vermag die Überstellung im Sinne der restriktiven Rechtsprechung nicht in Frage zu stellen. Die aktenkundigen gesundheitlichen Probleme der Beschwerdeführenden sind auch nicht von einer derartigen Schwere, dass aus humanitären Gründen von einer Überstellung abgesehen werden müsste. Nichts anderes ergibt sich im Übrigen aus dem Urteil des Bundesverwaltungsgerichts F-2393/2020 vom 13. Juli 2020, auf das sich die Beschwerdeführenden in Bezug auf die Schwangerschaft der Beschwerdeführerin berufen, denn der dort beurteilte Sachverhalt unterscheidet sich in wesentlichen Punkten von demjenigen, welcher der vorliegenden Streitsache zugrundliegt (26. Schwangerschaftswoche, ernsthafte psychische Probleme der Schwangeren, spezifische Situation in Bezug auf Überstellungen nach Italien während der COVID-19-Pandemie). Dementsprechend besteht auch in diesem Kontext kein Anlass, von den kroatischen Behörden individuelle Zusicherungen einzuholen.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der Beschwerdeführenden informieren.</w:t>
      </w:r>
    </w:p>
    <w:p>
      <w:r>
        <w:rPr>
          <w:b/>
        </w:rPr>
        <w:t>E. 10.1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10.2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näheren Überprüfung.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11</w:t>
      </w:r>
    </w:p>
    <w:p>
      <w:r>
        <w:t>Die Vorinstanz ist demnach zu Recht in Anwendung von Art. 31a Abs. 1 Bst. b AsylG auf das Asylgesuch der Beschwerdeführenden nicht eingetreten und hat in Anwendung von Art. 44 AsylG ebenfalls zu Recht die Wegweisung nach Kroatien angeordnet.</w:t>
      </w:r>
    </w:p>
    <w:p>
      <w:r>
        <w:rPr>
          <w:b/>
        </w:rPr>
        <w:t>E. 12</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13</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14</w:t>
      </w:r>
    </w:p>
    <w:p>
      <w:r>
        <w:t>Das Gesuch um Gewährung der unentgeltlichen Prozessführung ist abzuweisen, da die Beschwerde nach dem Gesagten von Anfang an als aussichtslos zu bezeichnen war und es damit an einer gesetzlichen Voraussetzung gemäss Art. 65 Abs. 1 VwVG fehlt.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