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F-1908/2022 vom 22. Mai 2023</w:t>
      </w:r>
    </w:p>
    <w:p>
      <w:r>
        <w:t>Bundesverwaltungsgericht, 2023-05-22, DE</w:t>
      </w:r>
    </w:p>
    <w:p>
      <w:r>
        <w:rPr>
          <w:b/>
        </w:rPr>
        <w:t xml:space="preserve">Quelle: </w:t>
      </w:r>
      <w:r>
        <w:t>https://mcp.opencaselaw.ch/entscheid/bvger_F-1908_2022</w:t>
      </w:r>
    </w:p>
    <w:p>
      <w:r>
        <w:t>FR: TAF F-1908/2022 du 22 mai 2023</w:t>
      </w:r>
    </w:p>
    <w:p>
      <w:r>
        <w:t>IT: TAF F-1908/2022 del 22 maggio 2023</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des Bundesgesetzes über die Ausländerinnnen und Ausländer und über die Integration vom 16. Dezember 2005 [Ausländer- und Integrationsgesetz, AIG; SR 142.20] i.V.m. Art. 31 ff. des Bundesgesetzes über das Bundesverwaltungsgericht vom 17. Juni 2005 [Verwaltungsgerichtsgesetz, VGG; SR 173.32]). Das Rechtsmittelverfahren richtet sich nach dem Bundesgesetz über das Verwaltungsverfahren vom 20. Dezember 1968 (Verwaltungsverfahrensgesetz, VwVG; SR 172.021), soweit das VGG nichts anderes bestimmt (Art. 37 VGG).</w:t>
      </w:r>
    </w:p>
    <w:p>
      <w:r>
        <w:rPr>
          <w:b/>
        </w:rPr>
        <w:t>E. 1.2</w:t>
      </w:r>
    </w:p>
    <w:p>
      <w:r>
        <w:t>Die Beschwerdeführerin hat am vorangegangenen Einspracheverfahren teilgenommen und ist als Gastgeberin der Gesuchstellerin durch den angefochtenen Entscheid besonders berührt. Obwohl der ursprünglich angestrebte Besuchszeitraum inzwischen abgelaufen ist, kann auf ein fortbestehendes Rechtsschutzinteresse geschlossen werden, da eine Besuchsabsicht nach wie vor möglich erscheint und sich die Frage betreffend Visaerteilung somit erneut stellen könnte. Die Beschwerdeführerin ist daher zur Erhebung des Rechtsmittels legitimiert (Art. 48 Abs. 1 VwVG). Auf die im Übrigen frist- und formgerecht eingereichte Beschwerde ist daher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Der angefochtenen Verfügung liegt das Gesuch einer iranischen Staatsangehörigen um Erteilung eines Visums zu Besuchszwecken für die Schweiz zugrunde. Da sich die Beschwerdeführerin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AIG und seine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beziehungsweise Visum vermittelt auch das Schengen-Recht nicht (BVGE 2014/1 E. 4.1.1 und 4.1.5; 2011/48 E. 4).</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3.4</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 Das Visum wird sodann verweigert, wenn begründete Zweifel an der Echtheit der von dem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4</w:t>
      </w:r>
    </w:p>
    <w:p>
      <w:r>
        <w:t>Streitig und zu prüfen ist, ob die Gesuchstellerin die Voraussetzungen für die Erteilung eines Besuchervisums erfüllt, insbesondere ob sie für eine fristgerechte Wiederausreise Gewähr bietet.</w:t>
      </w:r>
    </w:p>
    <w:p>
      <w:r>
        <w:rPr>
          <w:b/>
        </w:rPr>
        <w:t>E. 4.1</w:t>
      </w:r>
    </w:p>
    <w:p>
      <w:r>
        <w:t>Mit Blick auf die allgemeine Lage in Iran wies die Vorinstanz in ihrem Entscheid auf schwierige wirtschaftliche und politische Verhältnisse im Herkunftsland der Gesuchstellerin und einen damit einhergehenden sehr hohen Migrationsdruck hin. Die Wirtschaft Irans steckt tief in der Rezession; Inflation und Arbeitslosigkeit sind hoch. Ursächlich dafür sind Klientelpolitik, internationale Sanktionen und die grosse Abhängigkeit vom Erdölexport. Die Corona-Krise hat dabei die Situation zusätzlich verschärft. Teile der Mittelschicht sind verarmt. Zum Missmanagement des Staates kommt das fehlende Vertrauen der Bürger und Bürgerinnen in ihre Regierung. Seit Mitte September 2022 kommt es in zahlreichen Städten des Landes zu Protesten gegen die Regierung. Auch die schwierige Wirtschaftslage und die latenten Spannungen führen periodisch zu Kundgebungen, zum Beispiel im Zusammenhang mit Preiserhöhungen, mit politischen Forderungen oder mit (religiösen) Lokalfeiertagen und Gedenktagen. Bei Ausschreitungen und gewaltsamen Zusammenstössen zwischen den Sicherheitskräften und Demonstrierenden sind zahlreiche Personen getötet oder verletzt worden. Teilweise wird scharfe Munition eingesetzt. Das Risiko von Anschlägen besteht im ganzen Land. So wurden im Oktober 2022 mehrere Personen bei einem Attentat auf den Shah Cheragh-Schrein in Shiraz getötet oder verletzt. Im April 2022 sind Attentate auf Kleriker in Moscheen in Mashhad (Provinz Khorasan) und in Gonbad Kavus (Provinz Golestan) verübt worden. In den Grenzprovinzen im Osten und Westen werden die Sicherheitskräfte immer wieder Ziel von bewaffneten Überfällen und Anschlägen (vgl. https://www.bpb.de /themen/naher-mittlerer-osten/iran/501914/wirtschaft/ und https://www. eda.admin.ch/eda/de/home/ vertretungen-und-reisehinweise/iran/reise-hinweise-fuer deniran.html#eda df2646; jeweils abgerufen im April 2023). Vor diesem Hintergrund besteht bei der iranischen Bevölkerung ein vielfacher Wunsch nach Auswanderung, der erfahrungsgemäss dort begünstigt wird, wo bereits Verwandte oder Bekannte im Ausland leben. Dass die Vorinstanz das Risiko einer nicht fristgerechten Wiederausreise von Besucherinnen und Besuchern aus Iran daher allgemein als hoch einschätzt, ist nicht zu beanstanden.</w:t>
      </w:r>
    </w:p>
    <w:p>
      <w:r>
        <w:rPr>
          <w:b/>
        </w:rPr>
        <w:t>E. 4.2</w:t>
      </w:r>
    </w:p>
    <w:p>
      <w:r>
        <w:t>Daneben sind bei der Risikoanalyse sämtliche Gesichtspunkte des konkreten Einzelfalls zu berücksichtigen. Bei der Prognose über die Absicht einer gesuchstellenden Person, den Schengen-Raum fristgerecht zu verlassen, sind deren persönliche, familiäre und berufliche beziehungsweise wirtschaftliche Situation sowie deren Interessenlage mitzuberücksichtigen (BVGE 2014/1 E. 6.3.1). Obliegt einer gesuchstellenden Person im Heimatland beispielsweise eine besondere berufliche, gesellschaftliche oder familiäre Verantwortung, kann dies die Prognose für eine anstandslose Wiederausreise begünstigen. Umgekehrt muss bei Personen, denen in ihrer Heimat keine besonderen Verpflichtungen obliegen, das Risiko eines ausländerrechtlich nicht regelkonformen Verhaltens nach einer bewilligten Einreise als hoch eingeschätzt werden (BVGE 2014/1 E. 6.3.1; 2009/27 E. 8).</w:t>
      </w:r>
    </w:p>
    <w:p>
      <w:r>
        <w:rPr>
          <w:b/>
        </w:rPr>
        <w:t>E. 4.3</w:t>
      </w:r>
    </w:p>
    <w:p>
      <w:r>
        <w:t>Bei der Gesuchstellerin handelt es sich um eine im Jahre 1968 geborene geschiedene Frau. In Ihrem Heimatland verfügt sie bei gegebenem Aktenstand über keine speziellen gesellschaftlichen oder familiären Verpflichtungen. Ihre einzige Tochter befindet sich in der Schweiz, welche hier wegen der Unzumutbarkeit des Vollzugs der Wegweisung vorläufig aufgenommen wurde. Die Gesuchstellerin ist pensioniert und bezieht eine Rente von umgerechnet Fr. 1296. -. Sie besitzt eine Wohnung und zwei Bankkonten (insgesamt circa Fr. 21'000.-). Die dargelegten wirtschaftlichen Verhältnisse sind nicht geeignet, die Prognose für eine fristgerechte Wiederausreise zu begünstigen. Denn selbst wenn sich die Gesuchstellerin in einer für die lokalen Verhältnisse guten wirtschaftlichen Situation befindet, vermag sie dies nicht verlässlich daran zu hindern, das Herkunftsland dauerhaft zu verlassen. Grundeigentum und andere Vermögenswerte gehen bei einer Emigration nicht zwingend verloren (BVGer F-4758/2018 vom 14. April 2020 E. 6.3.2 m.w.H.). Auch lässt der Umstand, dass ein fast dreimonatiger Besuchsaufenthalt angestrebt wird, auf eine weitgehende Ungebundenheit der Gesuchstellerin schliessen. Auch ist darauf hinzuweisen, dass das Risiko einer nicht fristgerechten Wiederausreise erfahrungsgemäss erhöht ist, wenn durch die Anwesenheit von Verwandten in der Schweiz bereits ein soziales Beziehungsnetz besteht (BVGE 2014/1 E. 6.2.2). Dies ist vorliegend der Fall, lebt doch die einzige Tochter der Gesuchstellerin mit deren Ehemann in der Schweiz.</w:t>
      </w:r>
    </w:p>
    <w:p>
      <w:r>
        <w:rPr>
          <w:b/>
        </w:rPr>
        <w:t>E. 4.4</w:t>
      </w:r>
    </w:p>
    <w:p>
      <w:r>
        <w:t>Ein Abhängigkeitsverhältnis zwischen der Beschwerdeführerin und der Gesuchstellerin ist nicht ersichtlich, weshalb sie sich nicht auf die Achtung des grund- und menschenrechtlich geschützten Privat- und Familienlebens (Art. 13 Abs. 1 BV, Art. 8 Ziff. 1 EMRK) berufen können (vgl. BGE 147 I 268 E. 1.2.3; 144 I 266 E. 3.3; Urteil des BGer 2C_339/2019 vom 14. November 2019 E. 3.3; je m.w.H.).</w:t>
      </w:r>
    </w:p>
    <w:p>
      <w:r>
        <w:rPr>
          <w:b/>
        </w:rPr>
        <w:t>E. 4.5</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Besuchsaufenthalt besteht. An dieser Einschätzung vermag auch die eingereichte Verpflichtungserklärung nichts zu ändern. Denn die Beschwerdeführerin kann zwar als Gastgeberin mit rechtlich verbindlicher Wirkung für gewisse finanzielle Risiken im Zusammenhang mit dem Besuchsaufenthalt, nicht aber für ein bestimmtes Tun oder Unterlassen ihres Gastes einstehen (vgl. BVGE 2014/1 E. 6.3.7 und BVGE 2009/27 E. 9). Demnach wurde das Visum für den gesamten Schengen-Raum zu Recht verweigert. Zudem sind keine Gründe für die Ausstellung eines räumlich begrenzten Schengen-Visums erkennbar (vgl. Art. 2 Bst. d Ziff. 2, Art. 3 Abs. 4 und Abs. 5, Art. 11 Bst. b VEV; Art. 32 Abs. 1 cum Art. 25 Abs. 1 Bst. a und Abs. 2 VK sowie Art. 5 Abs. 4 Bst. c SGK).</w:t>
      </w:r>
    </w:p>
    <w:p>
      <w:r>
        <w:rPr>
          <w:b/>
        </w:rPr>
        <w:t>E. 5</w:t>
      </w:r>
    </w:p>
    <w:p>
      <w:r>
        <w:t>Die angefochtene Verfügung erweist sich somit im Lichte von Art. 49 VwVG als rechtmässig und die Beschwerde ist abzuweisen.</w:t>
      </w:r>
    </w:p>
    <w:p>
      <w:r>
        <w:rPr>
          <w:b/>
        </w:rPr>
        <w:t>E. 6</w:t>
      </w:r>
    </w:p>
    <w:p>
      <w:r>
        <w:t>Bei diesem Ausgang des Verfahrens sind die Kosten der Beschwerdeführerin aufzuerlegen (vgl. Art. 63 Abs. 1 VwVG i.V.m. Art. 1 ff. des Reglements vom 21. Februar 2008 über die Kosten und Entschädigungen vor dem Bundesverwaltungsgericht [VGKE, SR 173.320.2]).</w:t>
      </w:r>
    </w:p>
    <w:p>
      <w:r>
        <w:rPr>
          <w:b/>
        </w:rPr>
        <w:t>E. 7</w:t>
      </w:r>
    </w:p>
    <w:p>
      <w:r>
        <w:t>Dieses Urteil ist endgültig und kann mit ordentlichen Rechtsmitteln nicht angefochten werden (Art. 83 Bst. c Ziff. 1 des Bundesgesetzes über das Bundesgericht vom 17. Juni 2005 [Bundesgerichtsgesetz,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