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F-1906/2023 vom 14. April 2023</w:t>
      </w:r>
    </w:p>
    <w:p>
      <w:r>
        <w:t>Bundesverwaltungsgericht, 2023-04-14, DE</w:t>
      </w:r>
    </w:p>
    <w:p>
      <w:r>
        <w:rPr>
          <w:b/>
        </w:rPr>
        <w:t xml:space="preserve">Quelle: </w:t>
      </w:r>
      <w:r>
        <w:t>https://mcp.opencaselaw.ch/entscheid/bvger_F-1906_2023</w:t>
      </w:r>
    </w:p>
    <w:p>
      <w:r>
        <w:t>FR: TAF F-1906/2023 du 14 avril 2023</w:t>
      </w:r>
    </w:p>
    <w:p>
      <w:r>
        <w:t>IT: TAF F-1906/2023 del 14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Im Fall eines sogenannten Aufnahmeverfahrens (engl.: take charge) sind die in Kapitel III genannten Kriterien in der dort aufgeführten Rangfolge anzuwenden.</w:t>
      </w:r>
    </w:p>
    <w:p>
      <w:r>
        <w:rPr>
          <w:b/>
        </w:rPr>
        <w:t>E. 4.3</w:t>
      </w:r>
    </w:p>
    <w:p>
      <w:r>
        <w:t>Ein Abgleich der Fingerabdrücke des Beschwerdeführers ergab, dass dieser am 14. Januar 2023 in Kroatien daktyloskopisch erfasst wurde. Die kroatischen Behörden stimmten dem Gesuch des SEM um Übernahme am 25. März 2023 gestützt auf Art. 13 Abs. 1 Dublin-III-VO zu. Die Zuständigkeit Kroatiens zur Durchführung des Asyl- und Wegweisungsverfahrens ist somit grundsätzlich gegeben.</w:t>
      </w:r>
    </w:p>
    <w:p>
      <w:r>
        <w:rPr>
          <w:b/>
        </w:rPr>
        <w:t>E. 5.1</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EU-Grundrechtecharta (ABl. C 364/1 vom 18. Dezember 2000) mit sich bringen, ist zu prüfen, ob aufgrund dieser Kriterien ein anderer Mitgliedstaat als zuständig bestimmt werden kann. Falls kein anderer Mitgliedstaat als zuständig bestimmt werden kann, wird der die Zuständigkeit prüfende Mitgliedstaat zum zuständigen Mitgliedstaat (Art. 3 Abs. 2 Sätze 2 und 3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das SEM das Asylgesuch gemäss Art. 29a Abs. 3 der Asylverordnung 1 vom 11. August 1999 (AsylV 1, SR 142.311) aus humanitären Gründen auch dann behandeln, wenn dafür gemäss Dublin-III-VO ein anderer Staat zuständig wäre. Bei dieser Entscheidung kommt dem SEM ein Ermessensspielraum zu und das Bundesverwaltungsgericht setzt sein eigenes Ermessen nicht an dessen Stelle (BVGE 2015/9 E. 7.6 und E. 8.1).</w:t>
      </w:r>
    </w:p>
    <w:p>
      <w:r>
        <w:rPr>
          <w:b/>
        </w:rPr>
        <w:t>E. 5.3</w:t>
      </w:r>
    </w:p>
    <w:p>
      <w:r>
        <w:t>In einem jüngst ergangenen Referenzurteil hielt das Bundesverwaltungsgericht fest, es sei nicht davon auszugehen, das Asylverfahren und die Aufnahmebedingungen in Kroatien wiesen systemische Schwachstellen im Sinne von Art. 3 Abs. 2 Sätze 2 und 3 Dublin-III-VO auf. Es bestätigte damit seine seit dem Referenzurteil D-1611/2016 vom 22. März 2016 bestehende Praxis der grundsätzlichen Zulässigkeit von Dublin-Überstellungen nach Kroatien sowohl in "take-charge-" (Aufnahme) als auch "take-back-" (Wiederaufnahme) Verfahren (Urteil E-1488/2020 vom 22. März 2023 E. 9.5 [zur Publikation vorgesehen]).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(siehe a.a.O. E. 9.4.4).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 Von einer Überstellung ist bei dieser Ausgangslage nur in Ausnahmefällen abzusehen, wenn Gesuchstellende substantiiert darzulegen vermögen, dass die generelle Annahme in ihrem konkreten Fall nicht zutrifft.</w:t>
      </w:r>
    </w:p>
    <w:p>
      <w:r>
        <w:rPr>
          <w:b/>
        </w:rPr>
        <w:t>E. 5.4</w:t>
      </w:r>
    </w:p>
    <w:p>
      <w:r>
        <w:t>Die Schilderungen des Beschwerdeführers zur Gewaltanwendung durch Beamte in Kroatien fallen pauschal und wenig detailliert aus. Seine Vorbringen in Bezug auf allfällige Gewalterlebnisse genügen vorliegend deshalb nicht, um die grundsätzliche Vermutung umzustossen, wonach Kroatien seinen völkerrechtlichen Verpflichtungen im Rahmen eines Asylverfahrens nachkommt. Folglich besteht vorliegend für die Anwendung von Art. 3 Abs. 2 Dublin-III-VO kein Platz.</w:t>
      </w:r>
    </w:p>
    <w:p>
      <w:r>
        <w:rPr>
          <w:b/>
        </w:rPr>
        <w:t>E. 5.5</w:t>
      </w:r>
    </w:p>
    <w:p>
      <w:r>
        <w:t>Auch ist es nach dem Gesagten nicht angezeigt, die Vorinstanz dazu zu verpflichten, bei den kroatischen Behörden individuelle Garantien betreffend Zugang zum Asylverfahren und Unterbringung einzuholen (vgl. Urteil des BVGer E-4341/2022 vom 8. Dezember 2022 E. 7.3.5). Die Rügen der unvollständigen und unrichtigen respektive nicht aktuellen Ermittlung des Sachverhalts im Zusammenhang mit den Aufnahmebedingungen in Kroatien und dem dortigen Asylsystem sind nicht stichhaltig, weshalb von einer Rückweisung zu weiteren Sachverhaltsabklärungen abzusehen ist (vgl. BGE 136 I 229 E. 5.3 zur antizipierten Beweiswürdigung).</w:t>
      </w:r>
    </w:p>
    <w:p>
      <w:r>
        <w:rPr>
          <w:b/>
        </w:rPr>
        <w:t>E. 6</w:t>
      </w:r>
    </w:p>
    <w:p>
      <w:r>
        <w:t>Schliesslich ist zu prüfen, ob das Selbsteintrittsrecht nach Art. 17 Abs. 1 erster Satz Dublin-III-VO auszuüben ist.</w:t>
      </w:r>
    </w:p>
    <w:p>
      <w:r>
        <w:rPr>
          <w:b/>
        </w:rPr>
        <w:t>E. 6.1</w:t>
      </w:r>
    </w:p>
    <w:p>
      <w:r>
        <w:t>Der Beschwerdeführer führt an, er sei in Kroatien von der Polizei gewaltvoll, respektlos und wie ein Verbrecher behandelt worden. Er vermag jedoch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gemachten Misshandlungen seitens der kroatischen Polizei. Im Übrigen steht dem Beschwerdeführer die Möglichkeit offen, die vor Ort tätigen karitativen Organisationen zu kontaktieren.</w:t>
      </w:r>
    </w:p>
    <w:p>
      <w:r>
        <w:rPr>
          <w:b/>
        </w:rPr>
        <w:t>E. 6.2</w:t>
      </w:r>
    </w:p>
    <w:p>
      <w:r>
        <w:t>Demnach ist weder rechtsgenüglich dargetan noch ersichtlich, inwiefern humanitäre Gründe einen Selbsteintritt der Schweiz gebieten würden. Die Vorinstanz hat ihr Ermessen korrekt ausgeübt. Damit erweist sich auch die Rüge, die Vorinstanz habe ihre Abklärungen nicht begründet und ihre Begründungspflicht sowie weitere Teilgehalte des Anspruchs auf rechtliches Gehör verletzt (vgl. Art. 29 Abs. 2 BV), als unbehilflich.</w:t>
      </w:r>
    </w:p>
    <w:p>
      <w:r>
        <w:rPr>
          <w:b/>
        </w:rPr>
        <w:t>E. 7</w:t>
      </w:r>
    </w:p>
    <w:p>
      <w:r>
        <w:t>Im Ergebnis ist die Schweiz weder völkerrechtlich verpflichtet, auf das Asylgesuch einzutreten, noch liegen humanitäre Gründe vor, die einen Selbsteintritt nahelegen würden. Die Vorinstanz ist demnach in Anwendung von Art. 31a Abs. 1 Bst. b AsylG zu Recht nicht auf das Asylgesuch des Beschwerdeführers eingetreten und hat korrekterweise seine Wegweisung nach Kroatien angeordnet.</w:t>
      </w:r>
    </w:p>
    <w:p>
      <w:r>
        <w:rPr>
          <w:b/>
        </w:rPr>
        <w:t>E. 8</w:t>
      </w:r>
    </w:p>
    <w:p>
      <w:r>
        <w:t>Nach dem Gesagten ist die Beschwerde abzuweisen. Mit heutigem Urteil fällt der am 6. April 2023 angeordnete Vollzugsstopp dahin und das Gesuch um Erteilung der aufschiebenden Wirkung wird gegenstandslos.</w:t>
      </w:r>
    </w:p>
    <w:p>
      <w:r>
        <w:rPr>
          <w:b/>
        </w:rPr>
        <w:t>E. 9.1</w:t>
      </w:r>
    </w:p>
    <w:p>
      <w:r>
        <w:t>Die gestellten Begehren erweisen sich als aussichtslos, weshalb das Gesuch um unentgeltliche Prozessführung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