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F-18/2020 vom 12. März 2021</w:t>
      </w:r>
    </w:p>
    <w:p>
      <w:r>
        <w:t>Bundesverwaltungsgericht, 2021-03-12, DE</w:t>
      </w:r>
    </w:p>
    <w:p>
      <w:r>
        <w:rPr>
          <w:b/>
        </w:rPr>
        <w:t xml:space="preserve">Quelle: </w:t>
      </w:r>
      <w:r>
        <w:t>https://mcp.opencaselaw.ch/entscheid/bvger_F-18_2020</w:t>
      </w:r>
    </w:p>
    <w:p>
      <w:r>
        <w:t>FR: TAF F-18/2020 du 12 mars 2021</w:t>
      </w:r>
    </w:p>
    <w:p>
      <w:r>
        <w:t>IT: TAF F-18/2020 del 12 marzo 2021</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Beschwerdeführenden haben am vorangegangenen Einspracheverfahren teilgenommen und sind als Gastgeber der Gesuchstellerin durch den angefochtenen Entscheid besonders berührt. Obwohl der ursprünglich angestrebte Besuchszeitraum inzwischen abgelaufen ist, muss auf ein fortbestehendes Rechtsschutzinteresse geschlossen werden. Dies belegt allein schon die Einreichung des Rechtsmittels. Die Beschwerdeführenden sind daher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Dem angefochtenen Entscheid liegt das Gesuch einer kosovarischen Staatsangehörigen um Erteilung eines Visums für einen 30-tägigen Besuchsaufenthalt in der Schweiz zugrunde. 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in Kraft seit dem 15. September 2018; vgl. auch Art. 2 Ziff. 6 SGK; Art. 5 Abs. 1 Bst. a AIG). Als kosovarische Staatsangehörige unterliegt die Gesuchstellerin unbestrittenermassen der Visumspflicht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Aufgrund ihrer Staatszugehörigkeit unterliegt die Gesuchstellerin der Visumspflicht. Bei der Prüfung der Einreisevoraussetzungen nach Art. 6 Abs. 1 SGK ist die Frage der gesicherten Wiederausreise zentral. Eine solche erachtete die Vorinstanz aufgrund der allgemeinen Situation im Heimatland und der persönlichen Verhältnisse der Betroffenen als nicht genügend gewährleistet.</w:t>
      </w:r>
    </w:p>
    <w:p>
      <w:r>
        <w:rPr>
          <w:b/>
        </w:rPr>
        <w:t>E. 5.2</w:t>
      </w:r>
    </w:p>
    <w:p>
      <w:r>
        <w:t>Bei der Beurteilung der Gewähr für eine fristgerechte Wiederausreise steht ein zukünftiges Verhalten in Frage, weshalb sich darüber lediglich Prognosen treffen lassen. Hierzu sind alle Umstände des Einzelfalls zu würdigen. Die Beweisführungslast obliegt dabei der gesuchstellenden Person (Art. 14 Abs. 1 Bst. d VK; Art. 14 Abs. 3 i.V.m. Anhang II VK; Art. 6 Abs. 1 Bst. c SGK; Art. 5 Abs. 2 AIG; BVGE 2014/1 E. 4.4). Anhaltspunkte zur Beurteilung der Gewähr für eine fristgerechte Wiederausreise bilden einerseits die allgemeine Lage im Herkunftsland und andererseits die individuelle Situation der gesuchstellenden Person.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(BVGE 2014/1 E. 6.1).</w:t>
      </w:r>
    </w:p>
    <w:p>
      <w:r>
        <w:rPr>
          <w:b/>
        </w:rPr>
        <w:t>E. 5.3</w:t>
      </w:r>
    </w:p>
    <w:p>
      <w:r>
        <w:t>Im Zusammenhang mit der allgemeinen Lage in Kosovo weist die Vorinstanz in ihrem Entscheid auf nachteilige wirtschaftliche Verhältnisse und einen damit einhergehenden Migrationsdruck hin. Diese Einschätzung ist nicht zu beanstanden: Die Arbeitslosigkeit lag in Kosovo im Jahr 2019 bei 29.5% und das Pro-Kopf-Einkommen betrug EUR 3'890.- (Quelle: Wirtschaftskammer Österreich (WKO): www.wko.at Themen Aussenwirtschaft Aussenwirtschaft Wirtschaftsbericht Kosovo, Stand: September 2020, besucht im Februar 2021; vgl. anstelle vieler auch Urteil des BVGer F-6205/2019 vom 17. August 2020 E. 5.2 m.H.).</w:t>
      </w:r>
    </w:p>
    <w:p>
      <w:r>
        <w:rPr>
          <w:b/>
        </w:rPr>
        <w:t>E. 5.4</w:t>
      </w:r>
    </w:p>
    <w:p>
      <w:r>
        <w:t>Vor diesem Hintergrund kann insbesondere bei jungen, ungebundenen Personen der Wunsch nach Auswanderung entstehen. Die Bereitschaft, das Heimatland zu verlassen, wird zudem erfahrungsgemäss dort begünstigt, wo - wie im vorliegenden Fall - bereits ein soziales Beziehungsnetz im Ausland besteht. Dies führt nicht selten zur Umgehung ausländerrechtlicher Bestimmungen, indem nach einer allfälligen Einreise versucht wird, den Aufenthalt auf eine ganz andere rechtliche oder faktische Basis zu stellen und sich so der Pflicht zur Wiederausreise zu entziehen (BVGE 2014/1 E. 6.2.2 m.H.).</w:t>
      </w:r>
    </w:p>
    <w:p>
      <w:r>
        <w:rPr>
          <w:b/>
        </w:rPr>
        <w:t>E. 6.1</w:t>
      </w:r>
    </w:p>
    <w:p>
      <w:r>
        <w:t>Neben den allgemeinen Umständen im Herkunftsland sind - wie erwähnt - sämtliche Gesichtspunkte des konkreten Einzelfalles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6.2</w:t>
      </w:r>
    </w:p>
    <w:p>
      <w:r>
        <w:t>Bei der Gesuchstellerin handelt es sich um eine heute 23-jährige, unverheiratete und kinderlose Frau, welche mit ihren Eltern und ihrem jüngeren Bruder in Hausgemeinschaft lebt (vgl. "declaration on joint household" vom 22. August 2019 [SEM-act. 3/S. 12]) und noch nie in der Schweiz war. Irgendwelche Indizien für das Bestehen eines besonderen Betreuungsbedarfs, der nur durch die Gesuchstellerin selbst abgedeckt werden könnte, sind aus den Akten nicht ersichtlich und werden auch nicht geltend gemacht.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6.3</w:t>
      </w:r>
    </w:p>
    <w:p>
      <w:r>
        <w:t>Aufgrund dieser Ausgangslage ist der wirtschaftlichen Situation der Gesuchstellerin ein besonderes Augenmerk zu widmen. Im Zeitpunkt ihrer Gesuchseinreichung bezeichnete sich die Eingeladene als arbeitslos (vgl. Ziff. 19 und 20 des persönlichen Einreisegesuches [SEM-act. 3/S.29]). Gegenüber der kantonalen Migrationsbehörde hielten die Beschwerdeführenden in diesem Zusammenhang fest, die Gesuchstellerin helfe auf dem eigenen Bauernhof mit und werde im Verlaufe des neuen Jahres einen Studiengang in der Hauptstadt Pristina beginnen. Für die Annahme, die Gesuchstellerin gehe in der Zwischenzeit im Heimatland einer geregelten Erwerbstätigkeit nach und sei nunmehr in der Arbeitswelt integriert, ergeben sich jedenfalls aus den Akten keine Anhaltspunkte. Die Beschwerdeführenden weisen denn auch selber in ihrer Rechtsmitteleingabe darauf hin, es sei reiner Zufall in der heutigen Zeit im Kosovo "einen Job zu haben". Von einer starken (beruflichen) Verwurzelung, welche die Eingeladene verlässlich von einer Emigration abzuhalten vermöchte, kann demnach nicht ausgegangen werden. Vor diesem Hintergrund müssen die Beteuerungen auf Beschwerdeebene, wonach genügend Garantien für eine fristgerechte Wiederausreise vorhanden seien, als nicht ausschlaggebend bezeichnet werden. Dies umso weniger, als die von der Schweizervertretung sowie der Vorinstanz geäusserten Zweifel an der fristgerechten Wiederausreise, welche von den Beschwerdeführenden im Verlaufe des Verfahrens nicht ausgeräumt werden konnten, als durchaus begründet erscheinen. Die Vor-instanz wies denn auch zu Recht darauf hin, dass gleichlautende Einreisegesuche bereits von der Schweiz (2014 und 2017) sowie von Italien (2017) verweigert worden seien und sich die Situation der Gesuchstellerin in der Zwischenzeit kaum verändert habe (SEM-act. 7/S. 54). Soweit die Beschwerdeführenden geltend machen, dem (jüngeren) und im gleichen Haushalt lebenden Bruder der Gesuchstellerin sei in der Vergangenheit wiederholt ein Besuchervisum ausgestellt worden, genügt der Hinweis auf die zutreffenden Erwägungen in der vorinstanzlichen Vernehmlassung (vgl. Bst. F des Sachverhalts).</w:t>
      </w:r>
    </w:p>
    <w:p>
      <w:r>
        <w:rPr>
          <w:b/>
        </w:rPr>
        <w:t>E. 6.4</w:t>
      </w:r>
    </w:p>
    <w:p>
      <w:r>
        <w:t>Vor dem dargelegten allgemeinen und persönlichen Hintergrund durfte die Vorinstanz demnach willkürfrei davon ausgehen, dass keine hinreichende Gewähr für eine fristgerechte und anstandslose Wiederausreise der Gesuchstellerin nach einem Besuchsaufenthalt besteht. An der Richtigkeit dieser Einschätzung vermag auch die Tatsache nichts zu ändern, dass die Gastgeber und Beschwerdeführenden in der Schweiz fraglos über einen guten Leumund verfügen und mit der gegenüber der kantonalen Migrationsbehörde abgegebenen Verpflichtungserklärung ihr Vertrauen in ein rechtskonformes Verhalten ihres Gastes zum Ausdruck gebracht haben. Bei der Risikobeurteilung ist in erster Linie das mögliche Verhalten des Gastes selbst von Bedeutung. In ihrer Eigenschaft als Gastgeber können sie zwar für gewisse finanzielle Risiken im Zusammenhang mit dem Besuchsaufenthalt Garantie leisten. Mangels rechtlicher und faktischer Durchsetzbarkeit ist dies für ein bestimmtes Verhalten ihres Gastes aber nicht möglich (vgl. BVGE 2014/1 E. 6.3.7; 2009/27 E. 9). Aus dem gleichen Grund kann auch nicht entscheidend sein, dass die Beschwerdeführenden bereits mehrmals Gäste aus ihrem - allerdings engeren - Familienkreis (Bruder/Schwager bzw. Eltern/Schwiegereltern) zu sich in die Schweiz eingeladen haben, welche jeweils fristgerecht wieder in ihr Heimatland zurückgekehrt sind, lässt doch auch dieser Umstand keine Rückschlüsse auf ein zukünftiges Verhalten der Gesuchstellerin selbst zu. Zudem ist jedes Einreisegesuch nach Massgabe seiner spezifischen Gegebenheiten einzelfallweise zu beurteilen (vgl. Urteil des BVGer F-1170/2016 vom 11. Juli 2017 E. 6.3 m.H.).</w:t>
      </w:r>
    </w:p>
    <w:p>
      <w:r>
        <w:rPr>
          <w:b/>
        </w:rPr>
        <w:t>E. 7</w:t>
      </w:r>
    </w:p>
    <w:p>
      <w:r>
        <w:t>Zusammenfassend ergibt sich, dass vorliegend die Voraussetzungen für die Erteilung eines einheitlichen Visums für den Schengen-Raum nicht erfüllt sind. Zu Recht hat die Vorinstanz aufgrund der nicht gesicherten Wiederausreise der Gesuchstellerin das Visum verweigert. Es sind auch keine humanitären Gründe, nationale Interessen oder internationale Verpflichtungen ersichtlich, welche die Ausstellung eines Visums mit räumlich beschränkter Gültigkeit gebieten würden (vgl. dazu E. 4.5 vorstehend). Schliesslich können auch die verwandtschaftlichen Kontakte im bisherigen Rahmen weiter gepflegt werden. Der an sich verständliche Wunsch der Beschwerdeführenden, einer jüngeren Person aus dem weiteren Familienkreis ihr Lebensumfeld in der Schweiz zeigen zu können, hat folglich in den Hintergrund zu treten.</w:t>
      </w:r>
    </w:p>
    <w:p>
      <w:r>
        <w:rPr>
          <w:b/>
        </w:rPr>
        <w:t>E. 8</w:t>
      </w:r>
    </w:p>
    <w:p>
      <w:r>
        <w:t>Die angefochtene Verfügung ist im Lichte von Art. 49 VwVG nicht zu beanstanden. Die Beschwerde ist daher abzuweisen.</w:t>
      </w:r>
    </w:p>
    <w:p>
      <w:r>
        <w:rPr>
          <w:b/>
        </w:rPr>
        <w:t>E. 9</w:t>
      </w:r>
    </w:p>
    <w:p>
      <w:r>
        <w:t>Entsprechend dem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