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F-1890/2020 vom 16. April 2020</w:t>
      </w:r>
    </w:p>
    <w:p>
      <w:r>
        <w:t>Bundesverwaltungsgericht, 2020-04-16, FR</w:t>
      </w:r>
    </w:p>
    <w:p>
      <w:r>
        <w:rPr>
          <w:b/>
        </w:rPr>
        <w:t xml:space="preserve">Quelle: </w:t>
      </w:r>
      <w:r>
        <w:t>https://mcp.opencaselaw.ch/entscheid/bvger_F-1890_2020</w:t>
      </w:r>
    </w:p>
    <w:p>
      <w:r>
        <w:t>FR: TAF F-1890/2020 du 16 avril 2020</w:t>
      </w:r>
    </w:p>
    <w:p>
      <w:r>
        <w:t>IT: TAF F-1890/2020 del 16 aprile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la requérante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Les recourants ont qualité pour recourir (cf. art. 48 al. 1 PA, applicable par renvoi de l'art. 37 LTAF). Présenté dans la forme (art. 52 al. 1 PA) et le délai (art. 108 al. 3 LAsi) prescrits par la loi, le recours est recevable.</w:t>
      </w:r>
    </w:p>
    <w:p>
      <w:r>
        <w:rPr>
          <w:b/>
        </w:rPr>
        <w:t>E. 1.4</w:t>
      </w:r>
    </w:p>
    <w:p>
      <w:r>
        <w:t>Dans un recours contre une décision de non-entrée en matière fondée sur l'art. 31a al. 1 let. b LAsi, un requérant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2015/9 consid. 8.2.2).</w:t>
      </w:r>
    </w:p>
    <w:p>
      <w:r>
        <w:rPr>
          <w:b/>
        </w:rPr>
        <w:t>E. 1.5</w:t>
      </w:r>
    </w:p>
    <w:p>
      <w:r>
        <w:t>Saisi d'un recours contre une décision de non-entrée en matière sur une demande d'asile, le Tribunal se limite à examiner le bien-fondé d'une telle décision (cf. ATAF 2017 VI/5 consid. 3.1, et jurisprudence citée).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w:t>
      </w:r>
    </w:p>
    <w:p>
      <w:r>
        <w:t>Les recourants s'étant prévalus d'une violation de la maxime inquisitoire, il convient d'examiner en premier lieu le bien-fondé de ce grief d'ordre formel (cf. arrêt du Tribunal fédéral [ci-après : TF] 2C_360/2011 du 18 novembre 2011 consid. 2 ; arrêt du TAF F-2210/2019 du 15 mai 2019 consid. 2). En substance, les intéressés ont reproché à l'autorité intimée de ne pas avoir suffisamment instruit les mauvais traitements qu'ils auraient subis en Croatie ainsi que leur état de santé. Par ailleurs, ils ont estimé que le SEM avait établi l'état de fait pertinent de manière inexacte voire incomplète en excluant la notion de vulnérabilité de la famille.</w:t>
      </w:r>
    </w:p>
    <w:p>
      <w:r>
        <w:rPr>
          <w:b/>
        </w:rPr>
        <w:t>E. 2.1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w:t>
      </w:r>
    </w:p>
    <w:p>
      <w:r>
        <w:rPr>
          <w:b/>
        </w:rPr>
        <w:t>E. 2.2.1</w:t>
      </w:r>
    </w:p>
    <w:p>
      <w:r>
        <w:t>En l'espèce, s'agissant de l'instruction de l'état de santé des recourants, il apparaît que treize documents médicaux ont été établis entre novembre 2019 et mars 2020 (cf. décision du SEM du 27 mars 2020 p. 4 - 5, n 7 - 11). Ceux-ci semblent en outre être tous connus de la représentation juridique des recourants (cf. échange de courriels des 19 et 20 février 2020, dossier N pce 77/1). Des diagnostics ont pu être posés pour chacun des recourants et des traitements ou suivis médicaux mis en place. S'il appert que les recourants 1 et 2 avaient des rendez-vous médicaux supplémentaires respectivement les 13 mars 2020 (rendez-vous toutefois annulé) et 7 avril 2020, ceux-ci s'inscrivent dans les suivis médicaux déjà mis en place en leur faveur (cf. rapports médicaux des 20 février 2020 et 12 mars 2020, dossier N pces 81/3 et 87/2). Il n'incombait ainsi pas au SEM d'instruire plus avant l'état de santé des intéressés au vu des nombreux certificats médicaux figurant déjà au dossier et décrivant un état de santé bien établi. Le Tribunal considère ainsi que l'état de fait est suffisamment complet en ce qui concerne la situation médicale des recourants.</w:t>
      </w:r>
    </w:p>
    <w:p>
      <w:r>
        <w:rPr>
          <w:b/>
        </w:rPr>
        <w:t>E. 2.2.2</w:t>
      </w:r>
    </w:p>
    <w:p>
      <w:r>
        <w:t>S'agissant du grief de violation du devoir d'instruction en lien avec les mauvais traitements allégués, les intéressés n'ont relaté qu'un seul épisode de violence à l'encontre de la recourante 2 par les autorités croates, épisode toutefois antérieur au dépôt de leur demande d'asile et donc externe à la procédure y relative. Par ailleurs, ils ont allégué des mauvais traitements ensuite de leur requête, sans les corrober, et ont affirmé avoir reçu peu de nourriture (cf. entretien individuel du 26 novembre 2019, dossier N pce 43/2). Les intéressés n'apportent toutefois aucun élément probant sur ce qui précède et se basent sur des éléments généraux. Il faut en outre relever que ce n'est qu'après la décision litigieuse qu'ils ont contesté la forme résumée de l'entretien Dublin, celle-ci n'étant d'après eux pas adéquate pour examiner soigneusement leur dossier et ayant dénaturé leurs déclarations. Cela étant, tant les recourants que leur représentante juridique, également présente lors de ces entretiens, ont relu et signé les procès-verbaux sans objections. Ainsi, le Tribunal constate que le SEM a correctement instruit la cause et n'a, en particulier, commis aucune négligence procédurale en n'investiguant pas plus en avant les mauvais traitements allégués.</w:t>
      </w:r>
    </w:p>
    <w:p>
      <w:r>
        <w:rPr>
          <w:b/>
        </w:rPr>
        <w:t>E. 2.2.3</w:t>
      </w:r>
    </w:p>
    <w:p>
      <w:r>
        <w:t>En conséquence, le grief tiré de la violation de la maxime inquisitoire doit être écarté.</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ATF 140 I 285 consid. 6.3.1). En l'occurrence, le Tribunal relève d'emblée que l'état de fait pertinent a été établi de manière exacte et complète (art. 106 al. 1 let. b LAsi) par l'autorité intimée. Force est en effet de relever que le SEM a pris en compte la vulnérabilité de la famille dans sa décision (cf. décision du 27 mars 2020, p. 10 - 11). Pour le surplus, les intéressés remettent en cause l'appréciation de cette autorité, ce qui ne constitue pas un grief formel, mais un grief matériel qui sera donc analysé ci-dessous.</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3.3</w:t>
      </w:r>
    </w:p>
    <w:p>
      <w:r>
        <w:t>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du règlement Dublin III).</w:t>
      </w:r>
    </w:p>
    <w:p>
      <w:r>
        <w:rPr>
          <w:b/>
        </w:rPr>
        <w:t>E. 3.4</w:t>
      </w:r>
    </w:p>
    <w:p>
      <w:r>
        <w:t>En l'espèce, les investigations entreprises par le SEM, à travers la consultation de l'unité centrale du système européen « Eurodac », ont révélé que les recourants avaient déposé une demande d'asile en Croatie le 12 août 2019. Fort de ce qui précède, le SEM a soumis aux autorités croates compétentes, dans les délais fixés aux art. 23 par. 2 et art. 24 par. 2 du règlement Dublin III, une requête aux fins de reprise en charge, sur la base de l'art. 18 par. 1 let. b du règlement Dublin III. Le 9 décembre 2019, lesdites autorités ont expressément accepté de reprendre en charge les intéressés, sur la base de cette même disposition. La Croatie a ainsi reconnu sa compétence pour traiter la demande d'asile des recourants, ce qu'ils ne remettent pas en cause dans leur recours.</w:t>
      </w:r>
    </w:p>
    <w:p>
      <w:r>
        <w:rPr>
          <w:b/>
        </w:rPr>
        <w:t>E. 4</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4.1</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cf. arrêt de la Cour européenne des droits de l'homme [Cour EDH] du 21 janvier 2011 en l'affaire M.S.S. c. Belgique et Grèce, no 30696/09, par. 352 s.; voir également, en ce sens, ATAF 2012/27 consid. 6.4 ; arrêt du TAF E-4788/2019 du 25 septembre 2019).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w:t>
      </w:r>
    </w:p>
    <w:p>
      <w:r>
        <w:rPr>
          <w:b/>
        </w:rPr>
        <w:t>E. 4.2</w:t>
      </w:r>
    </w:p>
    <w:p>
      <w:r>
        <w:t>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2011/9 consid. 6; 2010/45 consid. 7.4 et 7.5). Dans la mesure où plusieurs organismes nationaux et internationaux, dont la Commission du Conseil de l'Europe chargée des questions relatives aux migrations, réfugiés et personnes déplacées, ont récemment fait état de refoulements dans les pays limitrophes de requérants d'asile entrés en Croatie sans examen de leur demande de protection par les autorités de cet Etat, le Tribunal a procédé à un examen de la situation telle qu'indiquée dans les rapports précités et, sans considérer que le système mis en place par la Croatie présentait des défaillances systémiques (question laissée ouverte), a toutefois invité l'autorité de première instance à procéder, sur la base des connaissances actuelles, à un examen individualisé des circonstances d'espèce (cf. arrêt de référence du TAF E-3078/2019 du 12 juillet 2019, consid 5.5 à 5.8 et réf. citées).</w:t>
      </w:r>
    </w:p>
    <w:p>
      <w:r>
        <w:rPr>
          <w:b/>
        </w:rPr>
        <w:t>E. 4.3</w:t>
      </w:r>
    </w:p>
    <w:p>
      <w:r>
        <w:t>En l'espèce, le Tribunal constate qu'il n'est pas en présence d'une prise en charge comme dans l'affaire E-3078/2019 précitée, mais d'une reprise en charge selon l'art. 18 par. 1 let. b règlement Dublin III. Les problèmes soulevés dans le recours au sujet de la situation générale en Croatie et des risques d'insuffisance systémique en lien avec l'accès à la procédure (dont en particulier le risque de « push-backs » à la frontière avec la Bosnie et Herzégovine ; cf. mémoire de recours du 3 avril 2020 p. 6, ch. 2, let. a) - qui sont notamment ceux qui ont été examinés dans l'arrêt de référence indiqué et cité dans le recours - touchent les personnes reconduites à la frontière après avoir été empêchées d'accéder à une procédure d'asile, voire sans qu'elles n'aient pu participer à une procédure correcte. Or, les recourants ont déposé une demande d'asile en Croatie le 12 août 2019 et ne sont donc pas touchés par la problématique soulevée dans ce recours et dans l'arrêt précité. A ce propos, on relèvera que les intéressés ont quitté la Croatie de leur propre chef sans attendre la suite donnée à leur requête, pour gagner la Suisse (cf., dans le même sens, arrêt du TAF F-5805/2019 du 11 décembre 2019 p. 8 et 9).</w:t>
      </w:r>
    </w:p>
    <w:p>
      <w:r>
        <w:rPr>
          <w:b/>
        </w:rPr>
        <w:t>E. 4.4</w:t>
      </w:r>
    </w:p>
    <w:p>
      <w:r>
        <w:t>Dans ces conditions, l'application de l'art. 3 par. 2 2ème phrase du règlement Dublin III ne se justifie pas.</w:t>
      </w:r>
    </w:p>
    <w:p>
      <w:r>
        <w:rPr>
          <w:b/>
        </w:rPr>
        <w:t>E. 5</w:t>
      </w:r>
    </w:p>
    <w:p>
      <w:r>
        <w:t>Les recourants contestent cela étant la décision du SEM du 27 mars 2020, en invoquant la violation du droit, notamment de l'art. 17 par. 1 règlement Dublin III en lien avec les art. 3 et 16 CCT, 3 CEDH et 3 CDE ainsi qu'avec l'art. 29a al. 3 OA 1.</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5.2</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5.2.1</w:t>
      </w:r>
    </w:p>
    <w:p>
      <w:r>
        <w:t>Selon la jurisprudence de la Cour EDH (cf. arrêt de la Cour EDH N. contre RoyaumeUni du 27 mai 2008,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requête n° 41738/10, par. 183). Dans ce contexte, on rappellera que même un éventuel risque de suicide réactionnel ne fait pas obstacle à un transfert dans l'Etat membre compétent si l'Etat responsable du renvoi prend toutes les mesures de prévention adéquates (cf. notamment arrêts du TAF F-4292/2019 du 2 septembre 2019, consid. 5.3 et E-2703/2015 du 23 avril 2018 et les réf. cit.).</w:t>
      </w:r>
    </w:p>
    <w:p>
      <w:r>
        <w:rPr>
          <w:b/>
        </w:rPr>
        <w:t>E. 5.3</w:t>
      </w:r>
    </w:p>
    <w:p>
      <w:r>
        <w:t>Il y a lieu tout d'abord de rappeler que la Croatie,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L'existence d'une prise en charge médicale adéquate dans chaque Etat de l'Union européenne est en règle générale présumée et il appartient à la partie, dans un cas particulier, d'apporter la preuve du contraire sur la base des maux spécifiques dont elle souffre (cf. ATAF 2011/9 consid. 8.2; 2010/45 consid. 8.2.2; arrêt du Tribunal D-2985/2016 du 26 mai 2016, et réf. citée).</w:t>
      </w:r>
    </w:p>
    <w:p>
      <w:r>
        <w:rPr>
          <w:b/>
        </w:rPr>
        <w:t>E. 5.4</w:t>
      </w:r>
    </w:p>
    <w:p>
      <w:r>
        <w:t>En l'espèce, le recourant 1 souffre d'un état anxio-dépressif chronique pour lequel il bénéficie d'un suivi psychiatrique. La recourante 2 souffre d'un état anxio-dépressif, d'un probable syndrome de stress post-traumatique et de problèmes gynécologiques. Elle fait l'objet d'un suivi psychiatrique et d'un traitement médicamenteux. Le recourant 3 a présenté deux crises épileptiques. Il bénéficie actuellement d'un traitement qu'il tolère bien et n'a plus présenté de malaise. Ce traitement est disponible en Croatie. Les recourants 4 et 5 ne présentent pas d'affections médicales particulièrement graves.</w:t>
      </w:r>
    </w:p>
    <w:p>
      <w:r>
        <w:rPr>
          <w:b/>
        </w:rPr>
        <w:t>E. 5.5</w:t>
      </w:r>
    </w:p>
    <w:p>
      <w:r>
        <w:t>Il n'apparaît pas que les problèmes médicaux des recourants soient d'une gravité telle qu'il faille renoncer au transfert de toute la famille en Croatie pour ces raisons. En effet, les différents documents médicaux figurant au dossier ne font pas état d'une prise en charge particulièrement compliquée et il ne ressort dès lors pas que leur état de santé soit à tel point critique sur les plans somatiques et psychiatrique que leur renvoi vers la Croatie emporterait violation de l'art. 3 CEDH au sens de la jurisprudence précitée. L'accès aux traitements psychiatriques appropriés en Croatie constitue certes un problème en raison d'une pénurie d'interprètes et d'un manque de coordination entre les autorités et les structures de soins. Les demandeurs d'asile et les réfugiés conservent toutefois la possibilité d'obtenir des soins psychologiques mais il n'existe aucun mécanisme de contrôle visant à identifier les demandeurs d'asile vulnérables ayant des besoins spéciaux et sur les mesures devant être prises en leur faveur (cf. Asylum Information Database [ci-après : AIDA], Country Report : Croatia, 2018, update mars 2019, pp. 81 à 85). Cela étant, il faut constater que les diagnostics ont déjà pu être posés en Suisse et les traitements nécessaires mis en place, de sorte que les difficultés susmentionnées sont à relativiser fortement en lien avec les recourants.</w:t>
      </w:r>
    </w:p>
    <w:p>
      <w:r>
        <w:rPr>
          <w:b/>
        </w:rPr>
        <w:t>E. 5.6</w:t>
      </w:r>
    </w:p>
    <w:p>
      <w:r>
        <w:t>Il incombera, néanmoins, aux autorités suisses chargées de l'exécution du transfert de transmettre aux autorités croates les renseignements permettant une telle prise en charge (cf. art. 31 et 32 du règlement Dublin III). Il convient de préciser que le SEM dispose, depuis le 22 novembre 2019, d'une autorisation signée par les recourants lui permettant de consulter leurs dossiers médicaux et de se procurer des informations à ce sujet (levée du secret médical), ce formulaire du SEM, intitulé « Autorisation de consultation du dossier médical », ayant été soumis pour signature aux intéressés au terme de leurs auditions du même jour.</w:t>
      </w:r>
    </w:p>
    <w:p>
      <w:r>
        <w:rPr>
          <w:b/>
        </w:rPr>
        <w:t>E. 5.7</w:t>
      </w:r>
    </w:p>
    <w:p>
      <w:r>
        <w:t>Concernant encore les allégués des recourants selon lesquels ils n'auraient pas mangé à leur faim en Croatie et qu'ils seraient dans un tel état de terreur face à un retour dans ce pays, que celui-ci équivaudrait à leur mort, il ne s'agit que d'allégations non étayées. Cela étant, ils n'ont pas démontré que leurs conditions d'existence en Croatie revêtiraient, en cas de transfert dans ce pays et compte tenu du dépôt d'une demande d'asile par leurs soins, un tel degré de pénibilité et de gravité qu'elles seraient constitutives d'un traitement contraire à l'art. 4 de la Charte EU, à l'art. 3 CEDH ou encore à l'art. 3 CCT. En tout état de cause, si - après leur retour en Croatie - les requérants devaient être contraints par les circonstances de mener une existence non conforme à la dignité humaine, ou s'il devait s'avérer que ce pays viole ses obligations d'assistance à leur encontre, ou de toute autre manière porte atteinte à leurs droits fondamentaux, il leur appartiendra de faire valoir leurs droits directement auprès des autorités de ce pays, en usant des voies de droit adéquates (cf. art. 26 directive Accueil). Le Tribunal souligne également, bien que la jurisprudence de la Cour EDH Tarakhel c. Suisse (req. n° 29217/12) n'apparaisse a priori pas applicable à la Croatie, que les autorités croates ont expressément identifié les recourants comme étant une famille dans leur réponse du 9 décembre 2019 (cf. dossier N pce 57/1), de sorte que ceux-ci ne seront pas séparés. Le transfert n'est ainsi pas non plus contraire à l'art. 3 CDE.</w:t>
      </w:r>
    </w:p>
    <w:p>
      <w:r>
        <w:rPr>
          <w:b/>
        </w:rPr>
        <w:t>E. 5.8</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w:t>
      </w:r>
    </w:p>
    <w:p>
      <w:r>
        <w:rPr>
          <w:b/>
        </w:rPr>
        <w:t>E. 5.9</w:t>
      </w:r>
    </w:p>
    <w:p>
      <w:r>
        <w:t>Enfin, le SEM a bien pris en compte les faits allégués par les intéressés,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5.10</w:t>
      </w:r>
    </w:p>
    <w:p>
      <w:r>
        <w:t>Au regard de l'ensemble des éléments qui précèdent, c'est à bon droit que le SEM a retenu qu'il n'y avait pas lieu de faire application de la clause discrétionnaire de l'art. 17 par. 1 du règlement Dublin III.</w:t>
      </w:r>
    </w:p>
    <w:p>
      <w:r>
        <w:rPr>
          <w:b/>
        </w:rPr>
        <w:t>E. 6</w:t>
      </w:r>
    </w:p>
    <w:p>
      <w:r>
        <w:t>Au vu de ce qui précède, c'est à juste titre que le SEM n'est pas entré en matière sur la demande d'asile des recourants, en application de l'art. 31a al. 1 let. d LAsi, et qu'il a prononcé leur transfert de Suisse vers la Croatie,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al.1 et al. 2 LAsi). Dès lors qu'il est statué immédiatement, la demande d'octroi de l'effet suspensif formée par les recourants est devenue sans objet.</w:t>
      </w:r>
    </w:p>
    <w:p>
      <w:r>
        <w:rPr>
          <w:b/>
        </w:rPr>
        <w:t>E. 7</w:t>
      </w:r>
    </w:p>
    <w:p>
      <w:r>
        <w:t>Les conclusions du recours étant d'emblée vouées à l'échec, la requête d'assistance judiciaire partielle est rejetée.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