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F-1883/2023 vom 12. April 2023</w:t>
      </w:r>
    </w:p>
    <w:p>
      <w:r>
        <w:t>Bundesverwaltungsgericht, 2023-04-12, DE</w:t>
      </w:r>
    </w:p>
    <w:p>
      <w:r>
        <w:rPr>
          <w:b/>
        </w:rPr>
        <w:t xml:space="preserve">Quelle: </w:t>
      </w:r>
      <w:r>
        <w:t>https://mcp.opencaselaw.ch/entscheid/bvger_F-1883_2023</w:t>
      </w:r>
    </w:p>
    <w:p>
      <w:r>
        <w:t>FR: TAF F-1883/2023 du 12 avril 2023</w:t>
      </w:r>
    </w:p>
    <w:p>
      <w:r>
        <w:t>IT: TAF F-1883/2023 del 12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bemängelt in formeller Hinsicht, das SEM habe den Sachverhalt in Bezug auf seine individuelle Situation bei einer möglichen Rückkehr nach Kroatien, so insbesondere vor dem Hintergrund der erlittenen Misshandlungen und der gut dokumentierten Situation in diesem Land, unzureichend abgeklärt. Dadurch liege eine Verletzung des Untersuchungsgrundsatzes sowie mehrerer Teilgehalte des rechtlichen Gehörs (insbesondere Begründungspflicht) vor.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des Beschwerdeführers und der von ihm eingereichten Unterlagen (vgl. SEM act. 1226458-9/4 [nachfolgend: act. 9]) mit seiner individuellen Situation, den von ihm angeführten Misshandlungen in Kroatien, den ihm offenstehenden Möglichkeiten, sich dort gegen ungerechte oder rechtswidrige Behandlung zu wehren, und ein Asylgesuch einzureichen sowie der allgemeinen Situation inklusive der Push-Back-Problematik - unter Hinweis auf mehrere Abklärungen der Schweizer Vertretung in Kroatien - auseinandergesetzt. Es ist nicht ersichtlich, in welcher Hinsicht hier noch konkrete weitere Abklärungen hätten vorgenommen werden müssen. Es ist demnach keine Verletzung des Untersuchungsgrundsatzes festzustellen.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 entgegen der Auffassung des Beschwerdeführers - eine Einzelfallprüfung vorgenommen, indem sie nach Prüfung und Würdigung der Parteivorbringen sowie der zur Stützung derselben eingereichten Ausweisschriften (vgl. SEM act. 9) hinreichend nachvollziehbar aufgezeigt hat, von welchen Überlegungen sie sich - gerade auch in individueller Hinsicht - leiten liess (vgl. angefochtene Verfügung, Ziff. II S. 3 ff.). Dabei musste sie sich nicht ausdrücklich mit jeder tatbestandlichen Behauptung und jedem rechtlichen Einwand auseinandersetzen, sondern durfte sich auf die wesentlichen Gesichtspunkte beschränken (BGE 143 III 65 E. 5.2), was sie hier getan hat. So sind den Erwägungen der Vorinstanz Ausführungen zum Verhalten der kroatischen Grenzbehörden dem Beschwerdeführer gegenüber nach seiner illegalen Einreise, zur Frage einer Kettenabschiebung und zu derjenigen des Vorliegens von systemischen Mängeln im kroatischen Asyl- und Aufnahmesystem sowie zu den Möglichkeiten des Beschwerdeführers, sich gegen unkorrektes Verhalten zu wehren, zu entnehmen. Eine Verletzung der Begründungspflicht ist auch deshalb zu verneinen, weil es dem Beschwerdeführer möglich war, sich ein Bild über die Tragweite des vorinstanzlichen Entscheides zu machen und diesen sachgerecht anzufechten. Dass er die Auffassung und Schlussfolgerungen der Vorinstanz hinsichtlich der Würdigung seiner Aussagen und Beweismittel nicht teilt, ist keine Verletzung des rechtlichen Gehörs, sondern betrifft die materielle Beurteilung der vorgebrachten Überstellungshindernisse. Soweit in der Rechtsmitteleingabe die Verletzung weiterer Teilgehalte des rechtlichen Gehörs gerügt wird, ist festzuhalten, dass der solchermassen pauschal vorgebrachte formelle Einwand nicht weiter substanziiert wird. Aus den Akten ergeben sich denn auch keine entsprechenden Hinweise auf eine Verletzung weiterer Teilgehalte des rechtlichen Gehörs.</w:t>
      </w:r>
    </w:p>
    <w:p>
      <w:r>
        <w:rPr>
          <w:b/>
        </w:rPr>
        <w:t>E. 4.4</w:t>
      </w:r>
    </w:p>
    <w:p>
      <w:r>
        <w:t>Die formellen Rügen erweisen sich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6</w:t>
      </w:r>
    </w:p>
    <w:p>
      <w:r>
        <w:t>Der Beschwerdeführer bestreitet nicht, sich vor der Einreise in die Schweiz in Kroatien aufgehalten zu haben. Die kroatischen Behörden stimmten dem Gesuch des SEM um Übernahme am (...) ausdrücklich zu (vgl. SEM act. 1226458-16/2). Die grundsätzliche Zuständigkeit Kroatiens ist somit gegeben und wird in der Beschwerde auch nicht bestritten.</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In seinem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 (Aufnahme) oder ein "Take-Back-" (Wiederaufnahme) Verfahren handelt; es sei nicht davon auszugehen, dass das Asylverfahren und die Aufnahmebedingungen in Kroatien systemische Schwachstellen im Sinne von Art. 3 Abs. 2 Sätze 2 und 3 Dublin-III-VO aufweisen würden, die eine Überstellung von Gesuchstellenden generell als unzulässig erscheinen liessen (vgl. a.a.O. E. 9.5). Das Gericht hielt fest, der Verdacht eines - angesichts der Situation in Kroatien auf den ersten Blick nicht unbegründeten - Gefährdungszusammenhangs zwischen Push-backs und Dublin-Rückkehr lasse sich aufgrund der verfügbaren Informationen und Erkenntnisse nicht erhärten (vgl. a.a.O. E. 9.4.2 ff.). Zum heutigen Zeitpunkt bestünden keine genügenden Anzeichen, die befürchten lassen würden, Dublin-Rückkehrende würden ohne Eröffnung und Durchführung eines Asylverfahrens aus Kroatien rechtswidrig ausgeschafft. Insbesondere sei aufgrund dieser Ausgangslage nicht davon auszugehen, dass solches systematisch geschehen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erhielten; dies unabhängig davon, ob die gesuchstellende Person im Rahmen eines Take-Charge- oder Take-Back-Verfahrens überstellt werde. Insbesondere bestehe keine beachtliche Wahrscheinlichkeit, die Überstellten würden der Gefahr einer Verletzung ihrer aus dem Refoulement-Verbot fliessenden Rechte ausgesetzt werden (vgl. a.a.O. E. 9.5).</w:t>
      </w:r>
    </w:p>
    <w:p>
      <w:r>
        <w:rPr>
          <w:b/>
        </w:rPr>
        <w:t>E. 7.3</w:t>
      </w:r>
    </w:p>
    <w:p>
      <w:r>
        <w:t>Sodann lassen die vom Beschwerdeführer bei seiner illegalen Einreise nach Kroatien geltend gemachten Vorkommnisse (Aufzählung Ereignisse) nicht den Schluss zu, er hätte bei einer Überstellung nach Kroatien mit hoher Wahrscheinlichkeit eine unmenschliche oder erniedrigende Behandlung im Sinne von Art. 3 EMRK, Art. 3 FoK oder Art. 4 EU-Grundrechtecharta zu gewärtigen. Gegen das Fehlverhalten von einzelnen Polizeibeamten könnte er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7.4</w:t>
      </w:r>
    </w:p>
    <w:p>
      <w:r>
        <w:t>Nach dem Gesagten ist die Anwendung von Art. 3 Abs. 2 Dublin-III-VO - auch unter Berücksichtigung der in der Beschwerde erwähnten Quellen, in welchen das kroatische Asylwesen kritisiert wird (Nennung Quellen) -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Der Beschwerdeführer vermag jedoch kein konkretes und ernsthaftes Risiko darzutun, die kroatischen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kroatischen Behörden haben seiner Aufnahme explizit zugestimmt. Ausserdem hat er nicht dargetan, die ihn bei einer Rückführung erwartenden Bedingungen in Kroatien seien derart schlecht, dass sie zu einer Verletzung von Art. 4 der EU-Grundrechtecharta, Art. 3 EMRK oder Art. 3 Folterkonvention (SR 0.105) führen könnten. Bei einer allfälligen vorübergehenden Einschränkung wäre der Beschwerdeführer nötigenfalls gehalten, sich an die dortigen Behörden zu wenden und die ihm zustehenden Aufnahmebedingungen auf dem Rechtsweg einzufordern (vgl. Art. 26 Aufnahmerichtlinie). Dies gilt auch in Bezug auf die geltend gemachte Gewalt seitens der kroatischen Behörden, die sich im Übrigen auf Vorkommnisse bei seiner illegalen Einreise und nicht auf den Aufenthalt in den dortigen Aufenthaltsstrukturen bezieht. Nachdem der Beschwerdeführer zu seiner gesundheitlichen Situation anlässlich des Dublin-Gesprächs angab, es gehe ihm sowohl physisch als auch psychisch gut (vgl. SEM act. 1226458-11/2), liegt auch kein Befund vor, der Anlass zur Prüfung einer Unzulässigkeit der Überstellung im Sinne der in BVGE 2011/9 E. 7 enthaltenen Rechtsprechung gäbe. Im Übrigen verfügt Kroatien über eine ausreichende medizinische Infrastruktur (vgl. statt vieler Urteil des BVGer E-423/2023 vom 31. Januar 2023 E. 7.2.4 m.w.H.). Vor diesem Hintergrund ist es nicht angezeigt, die Vorinstanz dazu zu verpflichten, bei den kroatischen Behörden individuelle Garantien hinsichtlich Zugangs zum Asylverfahren, adäquater medizinischer Versorgung und Unterbringung einzuholen. Der entsprechende Eventualantrag (Rechtsbegehren Ziff. 4) ist abzuweisen.</w:t>
      </w:r>
    </w:p>
    <w:p>
      <w:r>
        <w:rPr>
          <w:b/>
        </w:rPr>
        <w:t>E. 8.3</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des Asylgesuchs des Beschwerdeführers zuständige Mitgliedstaat gemäss Dublin-III-VO.</w:t>
      </w:r>
    </w:p>
    <w:p>
      <w:r>
        <w:rPr>
          <w:b/>
        </w:rPr>
        <w:t>E. 10</w:t>
      </w:r>
    </w:p>
    <w:p>
      <w:r>
        <w:t>Das SEM ist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11</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12</w:t>
      </w:r>
    </w:p>
    <w:p>
      <w:r>
        <w:t>Die Beschwerde ist abzuweisen und die Verfügung des SEM zu bestätigen.</w:t>
      </w:r>
    </w:p>
    <w:p>
      <w:r>
        <w:rPr>
          <w:b/>
        </w:rPr>
        <w:t>E. 13</w:t>
      </w:r>
    </w:p>
    <w:p>
      <w:r>
        <w:t>Mit dem Entscheid in der Hauptsache sind die Gesuche um Erteilung der aufschiebenden Wirkung und um Verzicht auf die Erhebung eines Kostenvorschusses gegenstandslos geworden. Der am 5. April 2023 verfügte einstweilige Vollzugsstopp fällt mit dem vorliegenden Urteil dahin.</w:t>
      </w:r>
    </w:p>
    <w:p>
      <w:r>
        <w:rPr>
          <w:b/>
        </w:rPr>
        <w:t>E. 14</w:t>
      </w:r>
    </w:p>
    <w:p>
      <w:r>
        <w:t>Das Gesuch um Gewährung der unentgeltlichen Prozessführung ist abzuweisen,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