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F-1880/2017 vom 3. April 2018</w:t>
      </w:r>
    </w:p>
    <w:p>
      <w:r>
        <w:t>Bundesverwaltungsgericht, 2018-04-03, FR</w:t>
      </w:r>
    </w:p>
    <w:p>
      <w:r>
        <w:rPr>
          <w:b/>
        </w:rPr>
        <w:t xml:space="preserve">Quelle: </w:t>
      </w:r>
      <w:r>
        <w:t>https://mcp.opencaselaw.ch/entscheid/bvger_F-1880_2017</w:t>
      </w:r>
    </w:p>
    <w:p>
      <w:r>
        <w:t>FR: TAF F-1880/2017 du 3 avril 2018</w:t>
      </w:r>
    </w:p>
    <w:p>
      <w:r>
        <w:t>IT: TAF F-1880/2017 del 3 aprile 2018</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LTF [RS 173.110]).</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Dans son arrêt, le Tribunal prend en considération l'état de fait régnant au moment où il statue (cf. ATAF 2014/1 consid. 2).</w:t>
      </w:r>
    </w:p>
    <w:p>
      <w:r>
        <w:rPr>
          <w:b/>
        </w:rPr>
        <w:t>E. 3.1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3.2</w:t>
      </w:r>
    </w:p>
    <w:p>
      <w:r>
        <w:t>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établissant un code de l'Union relatif au régime de franchissement des frontières par les personnes ([code frontières Schengen], version codifiée,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3.3</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3.4</w:t>
      </w:r>
    </w:p>
    <w:p>
      <w:r>
        <w:t>Aux termes de l'art. 11 LEtr, tout étranger qui entend exercer en Suisse une activité lucrative doit être titulaire d'une autorisation, quelle que soit la durée de son séjour (al. 1). Est considérée comme activité lucrative toute activité salariée ou indépendante qui procure normalement un gain, même si elle est exercée gratuitement (al. 2).</w:t>
      </w:r>
    </w:p>
    <w:p>
      <w:r>
        <w:rPr>
          <w:b/>
        </w:rPr>
        <w:t>E. 4.1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[ci-après : Message LEtr], FF 2002 3568 ; ATAF 2008/24 consid. 4.2).</w:t>
      </w:r>
    </w:p>
    <w:p>
      <w:r>
        <w:rPr>
          <w:b/>
        </w:rPr>
        <w:t>E. 4.2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4.3.1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 conformément, d'une part, au règlement SIS II et, d'autre part, à l'art. 16 al. 2 et 4 de la loi fédérale du 13 juin 2008 sur les systèmes d'information de police de la Confédération (LSIP; RS 361) - est en principe inscrite aux fins de non-admission dans le SIS.</w:t>
      </w:r>
    </w:p>
    <w:p>
      <w:r>
        <w:rPr>
          <w:b/>
        </w:rPr>
        <w:t>E. 4.3.2</w:t>
      </w:r>
    </w:p>
    <w:p>
      <w:r>
        <w:t>Il ressort en particulier de l'art. 24 par. 3 SIS II qu'un signalement peut être introduit lorsque la décision visée à l'art. 24 par. 1 SIS II est fondée sur le fait que le ressortissant d'un pays tiers a fait l'objet d'une mesure d'éloignement, de renvoi ou d'expulsion qui n'a pas été abrogée ni suspendue, et qui comporte ou est assortie d'une interdiction d'entrée, ou, le cas échéant, de séjour, fondée sur le non respect des réglementations nationales relatives à l'entrée ou au séjour des ressortissants de pays tiers.</w:t>
      </w:r>
    </w:p>
    <w:p>
      <w:r>
        <w:rPr>
          <w:b/>
        </w:rPr>
        <w:t>E. 4.3.3</w:t>
      </w:r>
    </w:p>
    <w:p>
      <w:r>
        <w:t>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w:t>
      </w:r>
    </w:p>
    <w:p>
      <w:r>
        <w:rPr>
          <w:b/>
        </w:rPr>
        <w:t>E. 4.3.4</w:t>
      </w:r>
    </w:p>
    <w:p>
      <w:r>
        <w:t>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art. 2 al. 4 de l'ordonnance sur l'entrée et l'octroi de visas du 22 octobre 2008 [OEV, RS 142.204] et arrêt du Tribunal administratif fédéral F-7298/2016 du 19 juin 2016 consid. 4).</w:t>
      </w:r>
    </w:p>
    <w:p>
      <w:r>
        <w:rPr>
          <w:b/>
        </w:rPr>
        <w:t>E. 4.4.1</w:t>
      </w:r>
    </w:p>
    <w:p>
      <w:r>
        <w:t>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LEtr, FF 2002 3564).</w:t>
      </w:r>
    </w:p>
    <w:p>
      <w:r>
        <w:rPr>
          <w:b/>
        </w:rPr>
        <w:t>E. 4.4.2</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4.4.3</w:t>
      </w:r>
    </w:p>
    <w:p>
      <w:r>
        <w:t>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notamment l'arrêt du TAF F-5267/2015 du 18 août 2016 consid. 4.5.3 et réf. cit.).</w:t>
      </w:r>
    </w:p>
    <w:p>
      <w:r>
        <w:rPr>
          <w:b/>
        </w:rPr>
        <w:t>E. 4.4.4</w:t>
      </w:r>
    </w:p>
    <w:p>
      <w:r>
        <w:t>Dans cette hypothèse,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Uebersax/Rudin/Hugi Yar/Geiser [éd.], Ausländerrecht, 2ème éd., Bâle 2009, ch. 8.80 p. 356).</w:t>
      </w:r>
    </w:p>
    <w:p>
      <w:r>
        <w:rPr>
          <w:b/>
        </w:rPr>
        <w:t>E. 5.1</w:t>
      </w:r>
    </w:p>
    <w:p>
      <w:r>
        <w:t>En l'espèce, il sied dans un premier temps d'examiner si le principe d'une interdiction d'entrée est fondé.</w:t>
      </w:r>
    </w:p>
    <w:p>
      <w:r>
        <w:rPr>
          <w:b/>
        </w:rPr>
        <w:t>E. 5.1.1</w:t>
      </w:r>
    </w:p>
    <w:p>
      <w:r>
        <w:t>Le 30 novembre 2015, l'autorité de première instance a prononcé à l'encontre de A._______ une décision d'interdiction d'entrée en Suisse d'une durée de trois ans, aux motifs que le prénommé a attenté à la sécurité et à l'ordre publics au sens de l'art. 67 LEtr en entrant dans l'Espace Schengen, en particulier en Suisse, sans être en possession du visa requis, de passeport et en y séjournant et en y exerçant une activité lucrative sans être au bénéfice d'une autorisation idoine, faits pour lesquels l'intéressé a été condamné.</w:t>
      </w:r>
    </w:p>
    <w:p>
      <w:r>
        <w:rPr>
          <w:b/>
        </w:rPr>
        <w:t>E. 5.1.2</w:t>
      </w:r>
    </w:p>
    <w:p>
      <w:r>
        <w:t>Comme mentionné ci-dessus (cf. consid. 3.2), l'art. 5 al. 1 LEtr, dont le contenu coïncide avec l'art. 6 par. 1 du code frontières Schengen, stipule que pour entrer en Suisse, tout étranger doit avoir une pièce de légitimation reconnue pour le passage de la frontière et être muni d'un visa si ce dernier est requis. Les ressortissants de la République de Serbie ne sont pas soumis à l'obligation de visa pour un séjour touristique inférieur à 90 jours sur une durée de 180 jours. En revanche, les ressortissants serbes désirant exercer une activité lucrative sont soumis à l'obligation de visa (même lorsque celle-ci dure moins de 8 jours dans une année civile), de même les ressortissants serbes désirant séjourner dans l'Espace Schengen plus de 90 jours, avec ou sans activité lucrative, sont également soumis à l'obligation de visa (cf. à ce sujet : www.sem.admin.ch &gt; Entrée &amp; séjour &gt; Entrée &gt; Directives Visas &gt; VII. Visas &gt; Séjour jusqu'à 90 jours &gt; Manuel des visas I et complément du SEM &gt; Annexe 1, liste 1 : Prescriptions documents de voyage et de visas selon nationalité &gt; Serbie ; version du 7 juillet 2017 ; site internet consulté en mars 2018). En tant que ressortissant serbe, désirant exercer une activité lucrative dans un établissement public genevois en qualité de cuisinier, A._______ était soumis à l'obligation de visa, quelle que soit la durée du séjour envisagé en ce pays.</w:t>
      </w:r>
    </w:p>
    <w:p>
      <w:r>
        <w:rPr>
          <w:b/>
        </w:rPr>
        <w:t>E. 5.1.3</w:t>
      </w:r>
    </w:p>
    <w:p>
      <w:r>
        <w:t>En l'espèce, force est de constater que lors de son audition du 12 août 2015 par l'Administration fédérale des douanes, A._______ a reconnu qu'il était entré en Suisse, soit dans l'Espace Schengen, en novembre 2014, sans être en possession d'une quelconque autorisation, et qu'il séjournait et travaillait depuis lors illégalement à Genève, en qualité de cuisinier dans un établissement public (cf. procès-verbal d'audition du 12 août 2015).</w:t>
      </w:r>
    </w:p>
    <w:p>
      <w:r>
        <w:rPr>
          <w:b/>
        </w:rPr>
        <w:t>E. 5.1.4</w:t>
      </w:r>
    </w:p>
    <w:p>
      <w:r>
        <w:t>Par ordonnance pénale du 3 septembre 2015, le Ministère public de la République et canton de Genève a, dès lors, condamné A._______ à une peine pécuniaire de 120 jours-amende avec sursis durant 3 ans, pour être entré en Suisse illégalement et y avoir séjourné et travaillé sans autorisation de novembre 2014 au 11 août 2015, en violation de l'art. 115 al. 1 let. a, b, c LEtr.</w:t>
      </w:r>
    </w:p>
    <w:p>
      <w:r>
        <w:rPr>
          <w:b/>
        </w:rPr>
        <w:t>E. 5.1.5</w:t>
      </w:r>
    </w:p>
    <w:p>
      <w:r>
        <w:t>Dans son mémoire de recours du 17 mars 2017, A._______ tout en reconnaissant la condamnation pénale du 3 septembre 2015 dont il a fait l'objet, minimise son comportement et indique que c'est son employeur de l'époque qui était responsable de cette situation et que les cotisations AVS étant prélevées sur son salaire, il pensait de bonne foi que sa situation était en ordre (cf. recours daté du 17 mars 2017).</w:t>
      </w:r>
    </w:p>
    <w:p>
      <w:r>
        <w:rPr>
          <w:b/>
        </w:rPr>
        <w:t>E. 5.1.6</w:t>
      </w:r>
    </w:p>
    <w:p>
      <w:r>
        <w:t>A ce propos, le Tribunal ne peut que constater que la première interdiction d'entrée prononcée par le SEM à l'endroit de A._______ le 10 octobre 2014 (et déployant ses effets jusqu'au 9 octobre 2015) a été notifiée au prénommé par les services de la poste kosovare le 29 octobre 2014. Ainsi, en entrant en Suisse en novembre 2014, malgré cette mesure d'éloignement dont il avait connaissance, A._______ savait pertinemment qu'il violait la loi suisse. Par ailleurs, dans la mesure où il a reconnu être entré en Suisse et y avoir séjourné et travaillé de novembre 2014 au 11 août 2015, sans avoir au préalable requis une autorisation à cet effet (cf. procès-verbal d'audition du 12 août 2015), A._______ a enfreint les prescriptions en vigueur en matière de droit des étrangers au sens de l'art. 115 al. 1 let. a à c LEtr. Il importe de rappeler à ce propos que tout étranger est censé s'occuper personnellement du règlement de sa situation, en se renseignant, au besoin, auprès des autorités compétentes, et ne saurait prendre un emploi sans avoir obtenu préalablement l'autorisation qui lui en confère le droit (cf. notamment arrêts du TAF C-2896/2015 du 4 février 2016 consid. 6.3; C-4789/2013 du 20 juillet 2015 consid. 5.1). Il convient donc de relever en conséquence que le recourant n'a pas respecté la législation en vigueur en l'état. Au vu de ce qui précède, le Tribunal estime que A._______, par la commission des infractions à la réglementation sur les étrangers (entrée et séjour sans autorisation, travail illégal), pour lesquelles il a été condamné par ordonnance pénale du 3 septembre 2015 du Ministère public de la République et canton de Genève, a attenté à la sécurité et à l'ordre publics en Suisse au sens de l'art. 67 al. 2 let. a LEtr. Le prononcé d'une interdiction d'entrée en Suisse à son endroit s'avère donc parfaitement justifié dans son principe.</w:t>
      </w:r>
    </w:p>
    <w:p>
      <w:r>
        <w:rPr>
          <w:b/>
        </w:rPr>
        <w:t>E. 6</w:t>
      </w:r>
    </w:p>
    <w:p>
      <w:r>
        <w:t>Il convient encore d'examiner si la mesure d'éloignement prise par l'autorité intimée satisfait aux principes de proportionnalité et de l'égalité de traitement.</w:t>
      </w:r>
    </w:p>
    <w:p>
      <w:r>
        <w:rPr>
          <w:b/>
        </w:rPr>
        <w:t>E. 6.1</w:t>
      </w:r>
    </w:p>
    <w:p>
      <w:r>
        <w:t>Lorsque l'autorité administrative prononce une interdiction d'entrée en Suisse, elle doit en effet respecter les principes susmentionnés et s'interdire tout arbitraire (cf. arrêt du TAF F-8085/2016 du 23 juin 2017 consid. 5.1).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ATAF 2011/60 consid. 5.3.1; voir également ATF 140 I 218 consid. 6.7.1; 136 IV 97 consid. 5.2.2; arrêt du TF 2C_357/2009 du 16 novembre 2009 consid. 6.1]).</w:t>
      </w:r>
    </w:p>
    <w:p>
      <w:r>
        <w:rPr>
          <w:b/>
        </w:rPr>
        <w:t>E. 6.2</w:t>
      </w:r>
    </w:p>
    <w:p>
      <w:r>
        <w:t>S'agissant de son intérêt privé, le recourant relève que la mesure d'éloignement a pour conséquence de le priver de la possibilité de rendre visite aux membres de sa famille vivant en Suisse, en l'occurrence deux de ses cousins et leur famille, ainsi que le conjoint d'une de ses cousines. Dès lors que ces personnes ne font pas partie de la famille nucléaire protégée par l'art. 8 CEDH et que A._______ ne fait valoir aucun lien de dépendance envers ceux-ci (cf. arrêt du TF 2C_369/2015 du 22 novembre 2015 consid. 1.1), le prénommé ne peut par principe se réclamer de cette disposition pour obtenir l'annulation de l'interdiction d'entrée. En outre, rien n'empêche l'intéressé de voir sa parenté hors de Suisse, par exemple au Kosovo ; de plus, en cas de nécessité, l'intéressé peut déposer ponctuellement une demande de visa pour la Suisse (cf. supra consid. 4.3.4 ) et solliciter auprès du SEM la délivrance de sauf-conduits aux fins de se rendre temporairement en Suisse (cf. art. 67 al. 5 LEtr [cf. notamment arrêt du TF 2C_238/2012 du 30 juillet 2012 consid. 4.3, arrêt du TAF F-7284/2014 du 12 octobre 2016 consid. 7.3 in fine]). Enfin, comme déjà signalé à l'intéressé, il n'est pas possible d'obtenir, moyennant le paiement d'une somme d'argent, une réduction de la durée de l'interdiction d'entrée (cf. consid. F supra), dans la mesure où il s'agit d'une question juridique relevant de l'appréciation des faits.</w:t>
      </w:r>
    </w:p>
    <w:p>
      <w:r>
        <w:rPr>
          <w:b/>
        </w:rPr>
        <w:t>E. 6.3</w:t>
      </w:r>
    </w:p>
    <w:p>
      <w:r>
        <w:t>S'agissant de l'intérêt public, il appert que les motifs retenus à l'appui de la mesure d'éloignement prise à l'endroit de A._______ (entrée illégale, séjour et travail sans autorisation) ne sauraient être contestés. L'infraction aux prescriptions de police des étrangers ainsi perpétrée doit être qualifiée de grave au sens indiqué plus haut (cf. consid. 4.4.3). Il convient en particulier de souligner que sans l'interpellation du 11 août 2015, l'intéressé aurait vraisemblablement poursuivi son séjour et son activité lucrative sans autorisation en Suisse.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arrêts du TAF F-8317/2015 du 23 février 2017 consid. 7.2.2 et juris. cit., F-5267/2015 du 18 août 2016 consid. 6.3 et juris. cit.).</w:t>
      </w:r>
    </w:p>
    <w:p>
      <w:r>
        <w:rPr>
          <w:b/>
        </w:rPr>
        <w:t>E. 6.4</w:t>
      </w:r>
    </w:p>
    <w:p>
      <w:r>
        <w:t>Aussi, l'intérêt privé de l'intéressé à pouvoir se déplacer librement en Suisse ne saurait, dans ces conditions, être considéré comme prépondérant par rapport à l'intérêt public à son éloignement.</w:t>
      </w:r>
    </w:p>
    <w:p>
      <w:r>
        <w:rPr>
          <w:b/>
        </w:rPr>
        <w:t>E. 6.5</w:t>
      </w:r>
    </w:p>
    <w:p>
      <w:r>
        <w:t>Tenant compte de l'ensemble des éléments objectifs et subjectifs de la cause, le Tribunal conclut que la mesure d'éloignement prise par l'autorité inférieure le 30 novembre 2015 est nécessaire et adéquate afin de prévenir toute nouvelle atteinte à la sécurité et à l'ordre publics en Suisse. En outre, la durée de trois ans de l'interdiction d'entrée respecte le principe de proportionnalité et correspond à celle prononcée dans des cas analogues (cf. dans ce sens arrêts du TAF C-6383/2014 précité consid. 7.2.3, F-8317/2015 précité, consid. 7.2.3).</w:t>
      </w:r>
    </w:p>
    <w:p>
      <w:r>
        <w:rPr>
          <w:b/>
        </w:rPr>
        <w:t>E. 7</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8</w:t>
      </w:r>
    </w:p>
    <w:p>
      <w:r>
        <w:t>Enfin, dans le cas d'espèce, c'est à bon droit que le SEM n'a pas fait application de l'at. 67 al. 5 LEtr. En effet, il ne ressort pas du dossier que des raisons humanitaires ou d'autres motifs importants puissent justifier le renoncement au prononcé d'une mesure d'éloignement, au vu de la nature et de la gravité des infractions commises par le recourant.</w:t>
      </w:r>
    </w:p>
    <w:p>
      <w:r>
        <w:rPr>
          <w:b/>
        </w:rPr>
        <w:t>E. 9</w:t>
      </w:r>
    </w:p>
    <w:p>
      <w:r>
        <w:t>Il ressort de ce qui précède que, par sa décision du 30 novembre 2015, le SEM n'a ni violé le droit fédéral, ni constaté des faits de manière inexacte ou incomplète ; en outre, cette décision n'est pas inopportune (cf. 49 PA).En conséquence, le recours doit être rejeté.Vu l'issue de la cause, les frais de procédure doivent être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