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F-1877/2024 vom 23. Januar 2025</w:t>
      </w:r>
    </w:p>
    <w:p>
      <w:r>
        <w:t>Bundesverwaltungsgericht, 2025-01-23, FR</w:t>
      </w:r>
    </w:p>
    <w:p>
      <w:r>
        <w:rPr>
          <w:b/>
        </w:rPr>
        <w:t xml:space="preserve">Quelle: </w:t>
      </w:r>
      <w:r>
        <w:t>https://mcp.opencaselaw.ch/entscheid/bvger_F-1877_2024</w:t>
      </w:r>
    </w:p>
    <w:p>
      <w:r>
        <w:t>FR: TAF F-1877/2024 du 23 janvier 2025</w:t>
      </w:r>
    </w:p>
    <w:p>
      <w:r>
        <w:t>IT: TAF F-1877/2024 del 23 gennaio 2025</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A moins que la LTAF n'en dispose autrement, la procédure devant le Tribunal est régie par la PA (art. 37 LTAF).</w:t>
      </w:r>
    </w:p>
    <w:p>
      <w:r>
        <w:rPr>
          <w:b/>
        </w:rPr>
        <w:t>E. 1.2</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1.3</w:t>
      </w:r>
    </w:p>
    <w:p>
      <w:r>
        <w:t>En l'espèce, les recourants ne sont intervenus qu'au stade de la présente procédure de recours. Cela étant, ils étaient déjà impliqués dans la mesure où l'opposition du 16 janvier 2024 mentionnait qu'ils s'engageaient, aux côtés des opposants, à subvenir aux besoins du requérant pendant le séjour de ce dernier en Suisse. Par conséquent et au vu de l'interprétation large conférée à l'art. 48 al. 1 let. a PA dans ce contexte (ATAF 2014/1 consid. 1.3.2), la condition de la participation à la procédure préliminaire semble satisfaite. Les recourants sont spécialement atteints par la décision attaquée et ont un intérêt digne de protection à la modification de celle-ci, dans la mesure où ils souhaitent désormais accueillir le requérant chez eux. La question de leur qualité pour recourir peut toutefois rester ouverte au vu de l'issue du recours. Le recours est au surplus présenté dans la forme et les délais prescrits par la loi (art. 50 al. 1 ; 52 al. 1 PA).</w:t>
      </w:r>
    </w:p>
    <w:p>
      <w:r>
        <w:rPr>
          <w:b/>
        </w:rPr>
        <w:t>E. 2</w:t>
      </w:r>
    </w:p>
    <w:p>
      <w:r>
        <w:t>Le Tribunal examine les décisions qui lui sont soumises avec un plein pouvoir d'examen en fait et en droit. Les recourants peuvent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En tant que ressortissant turc, le requérant est soumis à une telle obligation de visa, conformément à l'Annexe I du règlement [UE] no 2018/1806 précité.</w:t>
      </w:r>
    </w:p>
    <w:p>
      <w:r>
        <w:rPr>
          <w:b/>
        </w:rPr>
        <w:t>E. 4.2</w:t>
      </w:r>
    </w:p>
    <w:p>
      <w:r>
        <w:t>Les questions inhérentes aux visas sont principalement régies par la loi fédérale sur les étrangers et l'intégration du 16 décembre 2005 (LEI, RS 142.20) et par l'ordonnance du 15 août 2018 sur l'entrée et l'octroi de visas (OEV, RS 142.204).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et 5 LEI).</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Aux termes de l'art. 6 par. 1 let. c du Code frontières Schengen, le requérant doit disposer de moyens de subsistance suffisants, tant pour la durée du séjour envisagé que pour le retour dans son pays d'origine. L'appréciation de ce critère peut se fonder sur la possession d'argent liquide, de chèques de voyage et de cartes de crédit par le ressortissant de pays tiers. Les déclarations de prise en charge et les lettres de garantie, lorsqu'elles sont prévues par le droit national, peuvent aussi constituer une preuve de moyens de subsistance suffisants dans le cas des ressortissants de pays tiers logés chez l'habitant (art. 6 par. 4 du Code frontières Schengen). En vertu de l'art. 3 al. 2 OEV, les moyens de subsistance visés à l'art. 6 par. 1 let. c du Code frontières Schengen sont notamment réputés suffisants s'il est garanti que l'étranger ne fera pas appel à l'aide sociale pendant son séjour dans l'espace Schengen. Conformément à l'art. 32 par. 1 let. a point iii du Code des visas, le visa est refusé si le demandeur ne fournit pas la preuve qu'il dispose de moyens de subsistance suffisants, tant pour la durée du séjour envisagé que pour le retour dans son pays d'origine ou de résidence, ou pour le transit vers un pays tiers dans lequel son admission est garantie, ou n'est pas en mesure d'acquérir légalement ces moyens.</w:t>
      </w:r>
    </w:p>
    <w:p>
      <w:r>
        <w:rPr>
          <w:b/>
        </w:rPr>
        <w:t>E. 4.5</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(art. 2 let. d ch. 2 ; 3 al. 4 et al. 5 ; 11 let. b OEV ; art. 32 par. 1 en relation avec l'art. 25 par. 1 let. a et par. 2 du Code des visas ; art. 5 par. 4 let. c du Code frontières Schengen).</w:t>
      </w:r>
    </w:p>
    <w:p>
      <w:r>
        <w:rPr>
          <w:b/>
        </w:rPr>
        <w:t>E. 4.6</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 selon laquelle les autorités définissent les faits pertinents et les preuves nécessaires, qu'elles ordonnent et apprécient d'office -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(ATF 133 III 507 consid. 5.4). Ainsi, l'art. 90 LEI impose notamment à l'étranger le devoir de fournir des indications exactes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ou la maxime inquisitoire (cf. ATF 140 I 285 consid. 6.3.1 ; arrêt du TAF F-3321/2017 du 22 novembre 2018 consid. 5.4.4).</w:t>
      </w:r>
    </w:p>
    <w:p>
      <w:r>
        <w:rPr>
          <w:b/>
        </w:rPr>
        <w:t>E. 5.1</w:t>
      </w:r>
    </w:p>
    <w:p>
      <w:r>
        <w:t>Dans la décision querellée, l'autorité inférieure a confirmé le refus d'autorisation d'entrée dans l'Espace Schengen à l'encontre de l'intéressé, au motif que la preuve de l'existence de moyens de subsistance suffisants n'avait pas été fournie. Le SEM a estimé, d'une part, que le requérant n'était pas en mesure d'assumer personnellement les coûts relatifs à son séjour en Suisse ainsi qu'à son retour en Turquie et, d'autre part, se fondant sur le préavis du Service de la population de l'Etat de Vaud (SPOP), que les revenus de l'opposante n'étaient pas suffisants pour couvrir lesdits frais. S'agissant du mari de l'opposante et des recourants, il a retenu que ces derniers ne s'étaient pas formellement engagés à garantir les frais du requérant et qu'en tout état aucune pièce permettant d'établir leur situation financière n'avait été produite.</w:t>
      </w:r>
    </w:p>
    <w:p>
      <w:r>
        <w:rPr>
          <w:b/>
        </w:rPr>
        <w:t>E. 5.2</w:t>
      </w:r>
    </w:p>
    <w:p>
      <w:r>
        <w:t>Il convient ainsi de déterminer si le requérant, respectivement ses hôtes, disposent des moyens de subsistance suffisants, tant pour la durée du séjour envisagé que pour le retour du requérant dans son pays d'origine.</w:t>
      </w:r>
    </w:p>
    <w:p>
      <w:r>
        <w:rPr>
          <w:b/>
        </w:rPr>
        <w:t>E. 5.3</w:t>
      </w:r>
    </w:p>
    <w:p>
      <w:r>
        <w:t>Il s'agit en premier lieu d'analyser les propres moyens de subsistance du requérant. Selon le formulaire de demande de visa Schengen, ce dernier entendait - à tout le moins initialement - financer personnellement son voyage ainsi que son séjour en Suisse. Il ressort du dossier que le requérant exploite la boucherie (...) en qualité d'indépendant depuis le 24 juillet 2020 et qu'il est par ailleurs actif dans l'élevage de bovins et de caprins. Les revenus issus de ces activités sont toutefois inconnus, les opposants ayant uniquement affirmé que ceux-ci seraient « moins importants que par le passé » en raison des conséquences du séisme qui a frappé Pazarcik, la ville d'origine de l'intéressé, en février 2023. Le local accueillant la boucherie de l'intéressé se serait en effet effondré et ce dernier s'afférerait à le reconstruire. S'agissant des pièces produites par le requérant, qui n'ont fait l'objet d'aucune actualisation depuis le dépôt de la demande de ce dernier, il convient tout d'abord de relever que le SEM a omis de prendre en considération l'un des comptes bancaires dont ce dernier est titulaire. Le relevé de ce compte fait état d'un solde d'environ 34'338 livres turques au 7 décembre 2023, soit l'équivalent de quelques 870 francs. Cette constatation ne modifie toutefois pas le constat selon lequel le requérant dispose de moyens financiers limités, puisque le solde total de l'intégralité de ses comptes s'élevait, au 7 décembre 2023, à un peu moins de 890 francs, ce qui n'apparaît pas suffisant pour couvrir les frais de séjour. Au vu de ce qui précède, il ne saurait être retenu que les propres moyens de subsistance du requérant lui permettraient d'assumer personnellement les frais de son séjour en Suisse ainsi que de son retour dans son pays d'origine, ce que les recourants ne prétendent d'ailleurs pas.</w:t>
      </w:r>
    </w:p>
    <w:p>
      <w:r>
        <w:rPr>
          <w:b/>
        </w:rPr>
        <w:t>E. 5.4</w:t>
      </w:r>
    </w:p>
    <w:p>
      <w:r>
        <w:t>Il convient en second lieu d'examiner la situation financière des opposants ainsi que celle des recourants, afin de déterminer si les coûts engendrés par le séjour en Suisse du requérant ainsi que le retour dans son pays d'origine pourraient être supportés par ces derniers. Dans leurs écritures, les membres de la famille du requérant résidant en Suisse ont en effet affirmé se porter garants de tous les frais inhérents au séjour en Suisse de leur frère, respectivement beau-frère, qui logerait d'ailleurs au domicile des recourants. Il ressort du dossier que l'opposante D._______ perçoit un revenu de 3'666 francs nets par mois et qu'elle fait en outre l'objet de poursuites pour un montant de 25'360.85 francs ainsi que d'actes de défaut de biens à hauteur de 8'121.95 francs. Estimant de ce fait que les opposants n'étaient pas à même de respecter leurs engagements financiers, le Service de la population du canton de Vaud a émis un préavis négatif le 27 décembre 2023. Dans la mesure où l'opposante fait elle-même face à des difficultés financières, ses revenus ne sauraient être considérés comme suffisants pour couvrir les frais liés au séjour envisagé de son frère, ce qui n'est du reste pas contesté. Quant au mari de l'opposante et aux recourants, le Tribunal constate qu'aucune pièce établissant leur situation financière n'a été produite. S'agissant plus particulièrement des recourants, ces derniers se sont limités, dans le cadre de la présente procédure, à confirmer leur souhait de se porter garants de tous les frais relatifs au séjour du requérant. Ils n'ont toutefois produit ni déclaration formelle de prise en charge, ni pièce qui serait de nature à établir leur situation économique et à confirmer l'allégation des opposants selon laquelle ils seraient « propriétaires de plusieurs restaurants à (...) et dans sa région », alors qu'ils avaient été invités à le faire par ordonnance du 30 mai 2024. A défaut de toute forme de réaction de leur part, le Tribunal se voit ainsi dans l'obligation de statuer sur l'état actuel du dossier. En l'absence de toute preuve de l'existence de moyens de subsistance suffisants, le Tribunal ne saurait reprocher à l'autorité inférieure d'avoir confirmé, déjà pour ce motif, le refus d'autorisation d'entrée dans l'Espace Schengen à l'égard du requérant.</w:t>
      </w:r>
    </w:p>
    <w:p>
      <w:r>
        <w:rPr>
          <w:b/>
        </w:rPr>
        <w:t>E. 6</w:t>
      </w:r>
    </w:p>
    <w:p>
      <w:r>
        <w:t>Enfin, le Tribunal constate que le dossier ne laisse pas apparaître de motifs susceptibles de justifier la délivrance de visas à validité territoriale limitée en faveur du requérant (cf. consid. 4.5 supra).</w:t>
      </w:r>
    </w:p>
    <w:p>
      <w:r>
        <w:rPr>
          <w:b/>
        </w:rPr>
        <w:t>E. 7</w:t>
      </w:r>
    </w:p>
    <w:p>
      <w:r>
        <w:t>Il s'ensuit que, par sa décision du 1er mars 2024, l'autorité intimée n'a ni violé le droit fédéral, ni constaté les faits pertinents de manière inexacte ou incomplète. En outre, cette décision n'est pas inopportune (cf. art. 49 PA). Par conséquent, le recours est rejeté.</w:t>
      </w:r>
    </w:p>
    <w:p>
      <w:r>
        <w:rPr>
          <w:b/>
        </w:rPr>
        <w:t>E. 8</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Ayant succombé, ces derniers n'ont par ailleurs pas droit à des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