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F-1866/2019 vom 10. Juli 2019</w:t>
      </w:r>
    </w:p>
    <w:p>
      <w:r>
        <w:t>Bundesverwaltungsgericht, 2019-07-10, FR</w:t>
      </w:r>
    </w:p>
    <w:p>
      <w:r>
        <w:rPr>
          <w:b/>
        </w:rPr>
        <w:t xml:space="preserve">Quelle: </w:t>
      </w:r>
      <w:r>
        <w:t>https://mcp.opencaselaw.ch/entscheid/bvger_F-1866_2019</w:t>
      </w:r>
    </w:p>
    <w:p>
      <w:r>
        <w:t>FR: TAF F-1866/2019 du 10 juillet 2019</w:t>
      </w:r>
    </w:p>
    <w:p>
      <w:r>
        <w:t>IT: TAF F-1866/2019 del 10 luglio 2019</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et B._______ ont participé à la procédure devant l'autorité inférieure, sont spécialement atteints par la décision attaquée et conservent un intérêt digne de protection à la présente procédure de recours, malgré le fait que les dates originairement prévues pour la venue de l'intéressée en Suisse soient dépassées (cf. art. 48 al. 1 PA ; cf., dans ce sens, arrêt du TAF 3979/2017 du 13 août 2018 consid. 1.3). Présenté dans la forme et les délais prescrits par la loi, le recours introduit en deux exemplaires identiques, l'un, au nom de A._______, l'autre, au nom de B._______,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(cf. arrêt du TAF F-2068/2018 et F-2071/2018 du 1er février 2019 consid. 2).</w:t>
      </w:r>
    </w:p>
    <w:p>
      <w:r>
        <w:rPr>
          <w:b/>
        </w:rPr>
        <w:t>E. 4</w:t>
      </w:r>
    </w:p>
    <w:p>
      <w:r>
        <w:t>Dans un grief d'ordre formel qu'il convient d'examiner en premier lieu (cf. ATF 138 I 232 consid. 5.1), les recourants font valoir une violation du droit d'être entendu, dès lors que le SEM aurait violé son devoir de motiver la décision querellée. En effet, de l'avis des recourants, la décision prise par le SEM serait laconique, sommaire, voire superficielle et donnerait l'impression qu'il n'a pas été tenu compte de leurs éléments dûment produits (cf. recours du 21 avril 2019, p. 13).</w:t>
      </w:r>
    </w:p>
    <w:p>
      <w:r>
        <w:rPr>
          <w:b/>
        </w:rPr>
        <w:t>E. 4.1</w:t>
      </w:r>
    </w:p>
    <w:p>
      <w:r>
        <w:t>La jurisprudence a notamment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(cf. ATAF 2013/34 consid. 4.1 ; 2012/23 consid. 6.1.2 et jurisp. cit. ; 2010/3 consid. 5 et jurisp. cit.). L'autorité n'a pas l'obligation d'exposer et de discuter tous les faits, moyens de preuve et griefs invoqués par les parties, mais peut se limiter à l'examen des questions décisives pour l'issue du litige (cf. ATF 136 I 229 consid. 5.2 et jurispr. cit. ; voir également arrêt du TF 5A_336/2010 du 30 juillet 2010 consid. 2.1; ATAF 2009/35 consid. 6.4.1 et réf. cit.). Sous l'angle du droit d'être entendu, une motivation insuffisante ne peut ainsi être retenue que si la décision attaquée, sur le point litigieux, n'est aucunement motivée ou si cette motivation est à ce point indigente que la partie recourante ne serait pas à même de la contester à bon escient (cf. ATF 133 III 439 consid. 3.3, 126 I 97 consid. 2b ;voir aussi arrêt du TF 6B_177/2008 du 25 avril 2008 consid. 5).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arrêts du TF 6B_518/2009 du 29 septembre 2009 consid. 2.5 et 1C_35/2009 du 29 mai 2009 consid. 3).</w:t>
      </w:r>
    </w:p>
    <w:p>
      <w:r>
        <w:rPr>
          <w:b/>
        </w:rPr>
        <w:t>E. 4.2</w:t>
      </w:r>
    </w:p>
    <w:p>
      <w:r>
        <w:t>En l'espèce, l'autorité de première instance a exposé les motifs pour lesquels, dans le cadre de son pouvoir d'appréciation, elle estimait que l'intéressée n'avait pas été en mesure de démontrer l'existence d'attaches à ce point étroites avec son pays d'origine que la sortie de l'espace Schengen au terme du séjour sollicité serait suffisamment garantie. Cela étant, force est d'admettre que les recourants ont été en mesure de saisir les points essentiels sur lesquels l'autorité inférieure s'était fondée pour justifier sa position, comme le démontre d'ailleurs le mémoire circonstancié qu'ils ont déposé contre cette décision.</w:t>
      </w:r>
    </w:p>
    <w:p>
      <w:r>
        <w:rPr>
          <w:b/>
        </w:rPr>
        <w:t>E. 4.3</w:t>
      </w:r>
    </w:p>
    <w:p>
      <w:r>
        <w:t>En tout état de cause, même s'il convenait de conclure à une violation par l'autorité de première instance de l'obligation de motiver sa décision, ce vice devrait être considéré comme guéri. Tel est en effet le cas, conformément à une jurisprudence constante, lorsque l'administré a eu la possibilité de s'expliquer librement devant une autorité de recours, dont la cognition est aussi étendue que celle de l'autorité inférieure (cf. ATF 134 I 140 consid. 5.5, 133 I 201 consid. 2.2, 129 I 129 consid. 2.2.3). En l'espèce, les possibilités offertes à l'intéressée et à son père dans le cadre de leur recours administratif remplissent entièrement ces conditions, de sorte que le grief tiré d'une violation de l'obligation de motiver, et donc du droit d'être entendu, doit être écarté.</w:t>
      </w:r>
    </w:p>
    <w:p>
      <w:r>
        <w:rPr>
          <w:b/>
        </w:rPr>
        <w:t>E. 5</w:t>
      </w:r>
    </w:p>
    <w:p>
      <w:r>
        <w:t>La politique des autorités suisses en matière de visa joue un rôle très important dans la prévention de l'immigration clandestine (cf. à ce sujet 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et réf. cit.).</w:t>
      </w:r>
    </w:p>
    <w:p>
      <w:r>
        <w:rPr>
          <w:b/>
        </w:rPr>
        <w:t>E. 5.1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2009/27 consid. 3, et réf. cit.).</w:t>
      </w:r>
    </w:p>
    <w:p>
      <w:r>
        <w:rPr>
          <w:b/>
        </w:rPr>
        <w:t>E. 5.2</w:t>
      </w:r>
    </w:p>
    <w:p>
      <w:r>
        <w:t>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ou de droit à l'octroi d'un visa (cf. ATAF 2014/1 consid. 4.1.1 et 4.1.5 et ATAF 2011/48 consid. 4.1).</w:t>
      </w:r>
    </w:p>
    <w:p>
      <w:r>
        <w:rPr>
          <w:b/>
        </w:rPr>
        <w:t>E. 6.1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2 al. 1 de l'ordonnance du 22 octobre 2008 sur l'entrée et l'octroi de visas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cette volonté (art. 21 par. 1 du code des visas).</w:t>
      </w:r>
    </w:p>
    <w:p>
      <w:r>
        <w:rPr>
          <w:b/>
        </w:rPr>
        <w:t>E. 6.2</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(art. 12 al. 1 en relation avec l'art. 2 al. 4 OEV, art. 32 par. 1 en relation avec l'art. 25 par. 1 let. a et par. 2 du code des visas et art. 6 par. 5 let. c du code frontières Schengen).</w:t>
      </w:r>
    </w:p>
    <w:p>
      <w:r>
        <w:rPr>
          <w:b/>
        </w:rPr>
        <w:t>E. 6.3</w:t>
      </w:r>
    </w:p>
    <w:p>
      <w:r>
        <w:t>Le Règlement (CE) 539/2001 du Conseil du 15 mars 2001 (JO L 81 du 21 mars 2001, p. 1-7) différencie, en son art. 1 par. 1 et 2, les ressortissants des Etats tiers selon qu'ils sont soumis ou non à l'obligation du visa. En tant que ressortissante de Guinée-Bissau, l'intéressée est soumise à une telle obligation.</w:t>
      </w:r>
    </w:p>
    <w:p>
      <w:r>
        <w:rPr>
          <w:b/>
        </w:rPr>
        <w:t>E. 7.1</w:t>
      </w:r>
    </w:p>
    <w:p>
      <w:r>
        <w:t>En l'occurrence, l'autorité inférieure a confirmé le refus d'autorisation d'entrée dans l'Espace Schengen prononcé par la représentation suisse à Dakar, au motif que la sortie de A._______ de l'Espace Schengen au terme du séjour sollicité n'était pas garantie.</w:t>
      </w:r>
    </w:p>
    <w:p>
      <w:r>
        <w:rPr>
          <w:b/>
        </w:rPr>
        <w:t>E. 7.2</w:t>
      </w:r>
    </w:p>
    <w:p>
      <w:r>
        <w:t>A l'appui de leur recours, les intéressés ont notamment relevé que A._______ vivait depuis sa naissance avec sa tante et les enfants de cette dernière, qu'elle considérait respectivement comme sa mère et ses frères et soeurs et qu'elle n'imaginait pas les quitter pour s'établir en Suisse. Ils ont par ailleurs mis en avant le fait que l'intéressée vivait une relation de couple stable avec son compagnon et qu'elle n'avait pas davantage l'intention d'y mettre un terme. Sous un autre angle, ils ont allégué que A._______ était lycéenne, qu'elle entendait achever ses études dans son pays, raison pour laquelle son séjour en Suisse avait été aménagé en conséquence, et qu'elle ne parlait aucune des langues officielles suisses. Ils ont donc allégué que si leur souhait avait été de vivre ensemble en Suisse, ils n'auraient pas manqué d'introduire une demande de regroupement familial alors que A._______ était encore mineure. Enfin, ils se sont prévalus du fait qu'un autre enfant de B._______ avait pu lui rendre visite en Suisse et qu'il avait toujours scrupuleusement respecté la durée de validité du visa délivré. En conclusion, ils ont considéré que le risque de non-retour était infondé et que la décision du SEM était arbitraire dans sa motivation et dans son résultat.</w:t>
      </w:r>
    </w:p>
    <w:p>
      <w:r>
        <w:rPr>
          <w:b/>
        </w:rPr>
        <w:t>E. 8.1</w:t>
      </w:r>
    </w:p>
    <w:p>
      <w:r>
        <w:t>Selon la pratique constante des autorités, un visa ne peut être octroyé que s'il n'existe pas de doutes fondés quant au retour de l'étranger dans sa patrie dans les délais impartis (cf. ATAF 2014/1 consid. 4.3 et 4.4). Tel est le cas si, sur le vu de l'ensemble des circonstances, il existe un haut degré de probabilité que l'étranger retourne dans son pays à l'échéance du visa convoité (cf. arrêt du TAF F-4875/2015 du 13 septembre 2016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(cf. arrêt du TAF F-4875/2015 ibid.). Ainsi, il y a lieu de se montrer d'autant plus exigeant que la situation dans le pays d'origine est difficile (cf. ATAF 2014/1 consid. 6.1). Cette manière de procéder repose donc sur des critères objectifs et ne saurait être contraire au principe de l'égalité de traitement.</w:t>
      </w:r>
    </w:p>
    <w:p>
      <w:r>
        <w:rPr>
          <w:b/>
        </w:rPr>
        <w:t>E. 8.2</w:t>
      </w:r>
    </w:p>
    <w:p>
      <w:r>
        <w:t>S'agissant de la situation économique et sociale en Guinée-Bissau, on relèvera que, selon les données de la Banque mondiale, le produit intérieur brut (PIB) par habitant s'élevait pour la Guinée-Bissau à 723,60 USD en 2017, alors que celui de la Suisse s'élevait à la même période à 80'342,80 USD ($ US courants ; cf. site de la Banque mondiale : https://donnees.banquemondiale.org/indicateur, consulté en juin 2019). Enfin, selon les valeurs de 2015, l'indice de développement humain (IDH), qui prend en compte la santé, l'éducation et le revenu des personnes, classe la Guinée-Bissau au 178e rang sur 188 Etats (cf. Rapport sur le développement humain 2016, consultable sur le site du Programme des Nations Unies pour le développement (PNUD) : http://www.undp.org/ content/undp/fr/home/librarypage/hdr/2016-human-development-report.html, consulté en juin 2019). Les développements contenus dans le mémoire de recours, relatifs à la situation économique et politique en Guinée-Bissau ne sauraient ainsi occulter ces éléments, qui conservent leur actualité.</w:t>
      </w:r>
    </w:p>
    <w:p>
      <w:r>
        <w:rPr>
          <w:b/>
        </w:rPr>
        <w:t>E. 8.3</w:t>
      </w:r>
    </w:p>
    <w:p>
      <w:r>
        <w:t>Dès lors, les conditions socio-économiques difficiles en Guinée-Bissau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le père de la requérante étant domicilié en Suisse (cf. ATAF 2014/1 consid. 6.2.2 ; notamment arrêt du TAF F-748/2017 du 1er décembre 2017 consid. 5.3).</w:t>
      </w:r>
    </w:p>
    <w:p>
      <w:r>
        <w:rPr>
          <w:b/>
        </w:rPr>
        <w:t>E. 8.4</w:t>
      </w:r>
    </w:p>
    <w:p>
      <w:r>
        <w:t>Cela étant, l'autorité ne saurait se fonder sur la seule situation prévalant dans le pays de provenance de l'intéressée pour conclure à l'absence de garantie quant à sa sortie de Suisse, mais doit également prendre en considération les particularités du cas d'espèce (cf. ATAF 2009/27 consid. 7 et 8).</w:t>
      </w:r>
    </w:p>
    <w:p>
      <w:r>
        <w:rPr>
          <w:b/>
        </w:rPr>
        <w:t>E. 9.1</w:t>
      </w:r>
    </w:p>
    <w:p>
      <w:r>
        <w:t>Selon la jurisprudence, lorsque la personne invitée assume d'importantes responsabilités dans son pays d'origine, au plan professionnel, familial 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l'arrêt du TAF C-2483/2014 du 17 novembre 2014 consid. 6.1 et référence citée). Il convient dès lors d'examiner si la situation personnelle, familiale, professionnelle et patrimoniale de la partie requérante plaide en faveur de sa sortie ponctuelle de Suisse, respectivement de l'Espace Schengen, au terme du séjour envisagé.</w:t>
      </w:r>
    </w:p>
    <w:p>
      <w:r>
        <w:rPr>
          <w:b/>
        </w:rPr>
        <w:t>E. 9.2</w:t>
      </w:r>
    </w:p>
    <w:p>
      <w:r>
        <w:t>En l'occurrence, l'intéressée est jeune, célibataire et n'a pas fait valoir de relations familiales particulières, notamment de lien de dépendance, qui l'obligeraient à retourner dans son pays d'origine à la fin du séjour envisagé (sur ce plan-là, seul est généralement pris en compte la présence d'enfants ou d'un époux, et non la présence d'autres membres de la famille vis-à-vis desquels l'intéressée n'a aucune obligation d'entretien). Aussi, malgré la présence de sa tante et des enfants de cette dernière, l'intéressée ne peut se prévaloir de relations familiales particulières. Elle ne peut pas davantage se prévaloir de sa relation stable avec son compagnon, en l'absence d'éléments au dossier qui permettraient de retenir que cette relation devrait être comprise comme une relation similaire à une union vécue. Le Tribunal observe toutefois que tel ne semble pas être le cas, l'intéressée ayant précisé vivre chez sa tante.</w:t>
      </w:r>
    </w:p>
    <w:p>
      <w:r>
        <w:rPr>
          <w:b/>
        </w:rPr>
        <w:t>E. 9.3</w:t>
      </w:r>
    </w:p>
    <w:p>
      <w:r>
        <w:t>S'agissant de sa situation professionnelle, il apparaît que l'intéressée suit une formation au « Liceu Dr. Agostinho Neto », sans toutefois avoir apporté davantage de précisions sur sa durée et son contenu. Tout au plus a-t-elle fait valoir, attestation à l'appui, qu'elle avait pris toutes les précautions que l'on pouvait attendre d'elle pour que son cursus scolaire ne soit pas affecté et pour qu'elle puisse normalement reprendre ses études à son retour. Ce statut d'étudiante ne suffit toutefois pas à garantir le départ ponctuel de l'intéressée à l'échéance du visa sollicité. Sans remettre en question l'existence d'attaches parentales ou affectives certaines dans son pays d'origine, il ne ressort pas du dossier que l'intéressée ait en effet des responsabilités particulières, familiales ou professionnelles, qui l'inciteraient à quitter la Suisse le moment venu. Bien au contraire, si l'on se réfère à l'intégralité de ses conditions d'existence, il y a lieu de constater qu'elle n'a pas de revenus propres, et qu'étant jeune, célibataire et sans enfants, il existe un risque important qu'elle décide de prolonger son séjour sur le territoire helvétique à l'échéance de son visa. A ce sujet, le fait qu'elle et son père auraient pu introduire une demande de regroupement familial lorsqu'elle était mineure ne permet également pas de démontrer que l'intéressée dispose d'attaches suffisamment importantes en Guinée-Bissau pour garantir son retour dans ce pays à l'issue de son séjour en Suisse.</w:t>
      </w:r>
    </w:p>
    <w:p>
      <w:r>
        <w:rPr>
          <w:b/>
        </w:rPr>
        <w:t>E. 9.4</w:t>
      </w:r>
    </w:p>
    <w:p>
      <w:r>
        <w:t>S'agissant des assurances données par son père quant au départ ponctuel de l'intéressée à l'issue de son séjour, il y a lieu de rappeler qu'elles ne peuvent être tenues pour décisives, dans la mesure où elles n'engagent pas la requérante elle-même - celle-ci conservant seule la maîtrise de son comportement - et ne permettent nullement d'exclure l'éventualité que l'intéressée, une fois en Suisse, tente d'y poursuivre durablement son existence (cf. ATAF 2009/27 consid. 9 et notamment arrêt du TAF F-4176/2017 du 1er mars 2018 consid. 6). Aussi, le fait qu'un autre enfant de B._______ se serait vu délivrer un visa pour lui rendre visite en Suisse, pour autant qu'il soit établi, ne constitue pas davantage une assurance que l'intéressée, quant à elle, quittera la Suisse à l'issue de son séjour. En outre, il est sans incidence sur les considérations qui font l'objet de l'analyse du cas d'espèce.</w:t>
      </w:r>
    </w:p>
    <w:p>
      <w:r>
        <w:rPr>
          <w:b/>
        </w:rPr>
        <w:t>E. 9.5</w:t>
      </w:r>
    </w:p>
    <w:p>
      <w:r>
        <w:t>Le Tribunal relève enfin que le fait que l'intéressée n'obtienne pas un visa pour rendre visite à son père en Suisse ne les empêche pas de maintenir des relations, ceux-ci pouvant se rencontrer hors de Suisse. Compte tenu par ailleurs de la pression migratoire à laquelle les autorités suisses (et européennes) sont confrontées, on ne peut leur reprocher d'appliquer une politique trop restrictive en matière d'entrée sur le territoire Schengen.</w:t>
      </w:r>
    </w:p>
    <w:p>
      <w:r>
        <w:rPr>
          <w:b/>
        </w:rPr>
        <w:t>E. 9.6</w:t>
      </w:r>
    </w:p>
    <w:p>
      <w:r>
        <w:t>Au vu de ce qui précède, le Tribunal considère, à ce jour, que le retour de l'intéressée dans sa patrie au terme de l'autorisation requise n'est pas suffisamment assuré et que c'est donc de manière fondée que l'autorité inférieure a écarté l'opposition en cause et confirmé le refus de lui octroyer une autorisation d'entrée dans l'Espace Schengen.</w:t>
      </w:r>
    </w:p>
    <w:p>
      <w:r>
        <w:rPr>
          <w:b/>
        </w:rPr>
        <w:t>E. 10</w:t>
      </w:r>
    </w:p>
    <w:p>
      <w:r>
        <w:t>Au demeurant, le Tribunal constate que le dossier ne laisse pas apparaître de motifs susceptibles de justifier la délivrance en faveur de l'intéressée d'un visa à validité territoriale limitée (cf. consid. 6.2 supra).</w:t>
      </w:r>
    </w:p>
    <w:p>
      <w:r>
        <w:rPr>
          <w:b/>
        </w:rPr>
        <w:t>E. 11</w:t>
      </w:r>
    </w:p>
    <w:p>
      <w:r>
        <w:t>Il s'ensuit que, par sa décision du 15 mars 2019, l'autorité intimée n'a ni violé le droit fédéral, ni constaté des faits pertinents de manière inexacte ou incomplète ; en outre, cette décision n'est pas inopportune (art. 49 PA). En conséquence, le recours est rejeté.</w:t>
      </w:r>
    </w:p>
    <w:p>
      <w:r>
        <w:rPr>
          <w:b/>
        </w:rPr>
        <w:t>E. 12</w:t>
      </w:r>
    </w:p>
    <w:p>
      <w:r>
        <w:t>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 Les recourants n'ont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