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F-1850/2020 vom 6. Mai 2020</w:t>
      </w:r>
    </w:p>
    <w:p>
      <w:r>
        <w:t>Bundesverwaltungsgericht, 2020-05-06, FR</w:t>
      </w:r>
    </w:p>
    <w:p>
      <w:r>
        <w:rPr>
          <w:b/>
        </w:rPr>
        <w:t xml:space="preserve">Quelle: </w:t>
      </w:r>
      <w:r>
        <w:t>https://mcp.opencaselaw.ch/entscheid/bvger_F-1850_2020</w:t>
      </w:r>
    </w:p>
    <w:p>
      <w:r>
        <w:t>FR: TAF F-1850/2020 du 6 mai 2020</w:t>
      </w:r>
    </w:p>
    <w:p>
      <w:r>
        <w:t>IT: TAF F-1850/2020 del 6 maggio 2020</w:t>
      </w:r>
    </w:p>
    <w:p>
      <w:pPr>
        <w:pStyle w:val="Heading2"/>
      </w:pPr>
      <w:r>
        <w:t>Regeste</w:t>
      </w:r>
    </w:p>
    <w:p>
      <w:r>
        <w:t>Asile (non-entrée en matière / procédure Dublin) et renvoi</w:t>
      </w:r>
    </w:p>
    <w:p>
      <w:pPr>
        <w:pStyle w:val="Heading2"/>
      </w:pPr>
      <w:r>
        <w:t>Erwägungen</w:t>
      </w:r>
    </w:p>
    <w:p>
      <w:r>
        <w:rPr>
          <w:b/>
        </w:rPr>
        <w:t>E. 5</w:t>
      </w:r>
    </w:p>
    <w:p>
      <w:r>
        <w:t>Au vu de ce qui précède, le recours doit être admis, la décision sur réexamen du SEM du 4 mars 2020 annulée pour violation du droit fédéral et établissement inexact de l'état de fait pertinent (art. 106 al. 1 let. a et let. b LAsi) et le dossier de la cause retourné au SEM pour instruction complémentaire et nouvelle décision dans le sens des considérants (art. 61 al. 1 PA). Il est rappelé aux parties que l'autorité intimée est liée par ce qui a déjà été tranché dans le cadre du présent arrêt de renvoi et qu'elle est donc tenue de fonder sa nouvelle décision sur les considérants de celui-ci (arrêt du TF 2C_519/2013 du 3 septembre 2013 consid. 2.1). 6.Une cassation pour instruction complémentaire équivalant à un gain de cause (ATF 141 V 281 consid. 11.1 ; arrêt du TF 2C_60/2011 du 12 mai 2011 consid. 2.4), le recourant n'a pas à supporter de frais de procédure (art. 63 al. 1 a contrario PA), pas plus que l'autorité qui succombe (art. 63 al. 2 PA). En tant que le recours est admis, le recourant a droit à des dépens, à charge de l'autorité inférieure (cf. art. 64 al. 1 PA en relation avec l'art. 7 du règlement du 21 février 2008 concernant les frais, dépens et indemnités fixés par le Tribunal administratif fédéral [FITAF, RS 173.320.2]). L'autorité appelée à fixer les dépens sur la base d'une note de frais ne saurait se contenter de s'y référer sans plus ample examen; il lui appartient au contraire de vérifier si et dans quelle mesure les opérations qui y sont indiquées se sont avérées nécessaires à la représentation de la partie (art. 8 al. 2 a contrario FITAF). En outre, l'autorité concernée jouit d'une certaine latitude de jugement (arrêt du TF 2C_846/2013 du 28 avril 2014 consid. 3.3). Le mandataire - qui n'exerce pas la profession d'avocat (art. 10 al. 1 etal. 2 FITAF) - a produit une note d'honoraires en annexe du recours du1er avril 2020, chiffrant ses prestations à un montant total de 1'065 francs. Il s'agit en l'occurrence de tenir compte de l'ensemble des circonstances du cas, de l'importance de l'affaire, du degré de difficulté de cette dernière ainsi que des opérations indispensables effectuées par le mandataire. Ainsi, le Tribunal estime, au regard des art. 8 ss FITAF, que le versement d'un montant de 1'065 francs à titre de dépens (TVA comprise) apparaît comme équitable en la présente cause.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