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F-1841/2021 vom 18. August 2022</w:t>
      </w:r>
    </w:p>
    <w:p>
      <w:r>
        <w:t>Bundesverwaltungsgericht, 2022-08-18, FR</w:t>
      </w:r>
    </w:p>
    <w:p>
      <w:r>
        <w:rPr>
          <w:b/>
        </w:rPr>
        <w:t xml:space="preserve">Quelle: </w:t>
      </w:r>
      <w:r>
        <w:t>https://mcp.opencaselaw.ch/entscheid/bvger_F-1841_2021</w:t>
      </w:r>
    </w:p>
    <w:p>
      <w:r>
        <w:t>FR: TAF F-1841/2021 du 18 août 2022</w:t>
      </w:r>
    </w:p>
    <w:p>
      <w:r>
        <w:t>IT: TAF F-1841/2021 del 18 agosto 2022</w:t>
      </w:r>
    </w:p>
    <w:p>
      <w:pPr>
        <w:pStyle w:val="Heading2"/>
      </w:pPr>
      <w:r>
        <w:t>Regeste</w:t>
      </w:r>
    </w:p>
    <w:p>
      <w:r>
        <w:t>Assistance administrative</w:t>
      </w:r>
    </w:p>
    <w:p>
      <w:pPr>
        <w:pStyle w:val="Heading2"/>
      </w:pPr>
      <w:r>
        <w:t>Erwägungen</w:t>
      </w:r>
    </w:p>
    <w:p>
      <w:r>
        <w:rPr>
          <w:b/>
        </w:rPr>
        <w:t>E. 5.1.1</w:t>
      </w:r>
    </w:p>
    <w:p>
      <w:r>
        <w:t>Pour ce qui est des conditions de fond, la recourante argue en premier lieu que les informations requises ne rempliraient pas la condition de la pertinence vraisemblable, dès lors que feu son père C._______, qui était le titulaire de la relation bancaire en question auprès de B._______, a toujours résidé en D._______, ce qui est attesté par les nombreux moyens de preuve produits, et était donc « contribuable [de D._______] » durant la période sous contrôle (cf. recours, p. 14 et ses annexes nos 40 et 42 à 52). Le critère de rattachement du domicile fiscal n'étant pas établi, la demande des autorités françaises devrait, selon la recourante, soit être déclarée irrecevable soit être rejetée. Elle fait valoir en particulier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 requis des informations pour les autres 40'379 numéros techniques pour lesquels aucun recoupement n'avait pu être établi avec un contribuable français. Or, les autorités de ce pays auraient dû procéder à un contrôle dans la mesure où l'attribution du code « domizil » à un numéro de compte était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aurait excédé le cadre de l'échange de renseignements. Le procédé utilisé par les autorités françaises reposerait ainsi sur des données aléatoires dépourvues de fiabilité - en particulier par rapport au domicile de la personne concernée - en vue d'obtenir des renseignements sur un grand nombre de contribuables. Dès lors, l'Etat requérant aurait violé le principe de proportionnalité en procédant à une « pêche aux renseignements ».</w:t>
      </w:r>
    </w:p>
    <w:p>
      <w:r>
        <w:rPr>
          <w:b/>
        </w:rPr>
        <w:t>E. 5.1.2</w:t>
      </w:r>
    </w:p>
    <w:p>
      <w:r>
        <w:t>En l'occurrence, dans l'ATF 146 II 150, le Tribunal fédéral a jugé d'une manière qui lie la Cour de céans (cf. consid. 1.4.3 ci-avant)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4.1 supra) - répondait aux trois critères développés par la jurisprudence en lien avec les demandes groupées, applicables par analogie aux « demandes collectives », permettant d'exclure l'existence d'une fishing expedition (cf. consid. 2.5.2 ci-avant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 Au surplus, la jurisprudence a clairement établi qu'au stade de l'assistance administrative, la question de la résidence de la personne concernée par la procédure d'entraide n'a pas à être tranchée par l'Etat requis (cf. ATF 142 II 161 consid. 2.2.2 in fine, ;142 II 218 consid. 3.6 ; arrêt du TAF A-907/2017 du 14 novembre 2017 consid. 2.4). L'assistance administrative en matière fiscale ne dépend dès lors pas du domicile de la personne concernée. Au contraire, la probabilité que la personne concernée soit soumise à une obligation fiscale limitée ou illimitée dans l'Etat requérant pendant la période concernée suffit (cf.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 arrêt du TAF A-4977/2016 du 13 février 2018 consid. 3.3.6).</w:t>
      </w:r>
    </w:p>
    <w:p>
      <w:r>
        <w:rPr>
          <w:b/>
        </w:rPr>
        <w:t>E. 5.1.3</w:t>
      </w:r>
    </w:p>
    <w:p>
      <w:r>
        <w:t>De surcroît, la détermination de la résidence fiscale au plan international est une question de fond qui n'a, pour ce motif également, pas à être examiné définitivement par la Suisse en tant qu'Etat requis au stade de l'assistance administrative (cf. ATF 142 II 218 consid. 3.6 ; 142 II 161 consid. 2.2.2 in fine ; arrêt du TAF A-907/2017 du 14 novembre 2017 consid. 2.4). Le cas échéant, la double imposition internationale sera évitée par le jeu des règles de détermination de la résidence fiscale internationale prévues dans la convention applicable (art. 4 MC OCDE) ou par le recours à la procédure amiable (art. 26 MC OCDE). Une telle question n'intéresse pas la Suisse au stade de la procédure d'assistance administrative. Elle n'aurait du reste ni les moyens matériels ni la compétence formelle pour la trancher (cf. supra, consid. 2.9). Dans ces circonstances, l'éventuelle existence d'une résidence fiscale dans un autre Etat que l'Etat requérant ne permet pas de remettre en question la bonne foi de ce dernier, laquelle reste donc présumée. Il y a également lieu de préciser qu'il ne s'agit pas non plus d'un élément qui rendrait la demande d'assistance administrative manifestement erronée ou incomplète (cf. ATF 142 II 218 consid. 3.7 ; arrêt du TAF A-6589/2016 du 6 mars 2018 consid. 4.7.4). Il sied encore de relever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feu le père de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w:t>
      </w:r>
    </w:p>
    <w:p>
      <w:r>
        <w:rPr>
          <w:b/>
        </w:rPr>
        <w:t>E. 5.1.4</w:t>
      </w:r>
    </w:p>
    <w:p>
      <w:r>
        <w:t>Dès lors que la requête de l'autorité française ne constitue pas une « fishing expedition », que les renseignements requis et à transmettre respectent strictement le principe de la pertinence vraisemblable, le principe de proportionnalité (tel que concrétisé dans le domaine de l'assistance administrative en matière fiscale notamment par les éléments précités) doit être considéré en l'espèce comme respecté (cf. arrêt du TAF A-3045/2020 du 29 mars 2021 consid. 5.1.3).</w:t>
      </w:r>
    </w:p>
    <w:p>
      <w:r>
        <w:rPr>
          <w:b/>
        </w:rPr>
        <w:t>E. 5.1.5</w:t>
      </w:r>
    </w:p>
    <w:p>
      <w:r>
        <w:t>Partant, le premier grief au fond en lien avec le domicile et à la violation du principe de proportionnalité y relatif invoqué par la recourante doit être rejeté.</w:t>
      </w:r>
    </w:p>
    <w:p>
      <w:r>
        <w:rPr>
          <w:b/>
        </w:rPr>
        <w:t>E. 5.2.1</w:t>
      </w:r>
    </w:p>
    <w:p>
      <w:r>
        <w:t>Au moyen d'un deuxième grief, la recourante reproche à l'autorité inférieure d'accéder à une demande d'assistance basée sur des données volées, en violation du principe de la bonne foi et de l'art. 7 let. c LAAF. Cette question juridique n'ayant pas été traitée dans l'ATF 146 II 150, il convient de l'examiner plus en détail dans la présente cause. A l'appui de son recours, l'intéressée avance que l'arrêt du TAF 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AG à Francfort. Le serveur de sauvegarde comprenait des sauvegardes des ordinateurs des employés de B._______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AG à Francfort et auprès d'autres sites de B._______ en Allemagne. Lors de la perquisition au siège de la banque B._______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B._______ dans le cadre de la présente procédure d'assistance administrative (cf. décision finale de l'AFC, ch. 6.4).</w:t>
      </w:r>
    </w:p>
    <w:p>
      <w:r>
        <w:rPr>
          <w:b/>
        </w:rPr>
        <w:t>E. 5.2.3</w:t>
      </w:r>
    </w:p>
    <w:p>
      <w:r>
        <w:t>Par ailleurs, la jurisprudence du Tribunal fédéral a certes mentionné l'existence d'un lien de causalité entre les données prétendument volées et la demande d'assistance administrative, dont se prévaut la recourante, comme critère permettant de démontrer l'absence de bonne foi de l'Etat requérant, lorsque celui-ci s'est engagé à ne pas former de demande sur la base de telles données. Toutefois,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5.2.4</w:t>
      </w:r>
    </w:p>
    <w:p>
      <w:r>
        <w:t>Par conséquent, le grief tiré de la violation du principe de la bonne foi en lien avec l'utilisation de données volées doit être rejeté.</w:t>
      </w:r>
    </w:p>
    <w:p>
      <w:r>
        <w:rPr>
          <w:b/>
        </w:rPr>
        <w:t>E. 5.3.1</w:t>
      </w:r>
    </w:p>
    <w:p>
      <w:r>
        <w:t>Dans un troisième grief, la recourante avance que les principes de spécialité et de la confiance ne seraient pas respectés dans le cas d'espèce. Ainsi, elle argue, en lien avec les courriers des 11 juillet 2017 et 14 janvier 2020, que les assurances recueillies par l'AFC auprès de la DGFiP concernant l'utilisation des données fiscales, issues de l'assistance administrative,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avait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F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B._______,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B._______. Toutefois, on ne saurait déduire a contrario que l'autorité requérante entendrait violer le principe de spécialité à l'égard de la recourante. En effet, ni les éléments du dossier ni les affirmations de la recourante - formulées de manière hypothétique - ne prouvent, ni même n'étayent, le fait prétendu que les informations le concernant pourraient être utilisées en violation du principe de spécialité. La garantie formulée par la DGFiP doit aussi être comprise à l'aune du caractère collectif de la demande qu'elle a présentée le 11 mai 2016 et concerne ainsi aussi des clients ou ex-clients de la banque B._______. Il n'y a donc pas lieu de retenir que les renseignements relatifs à la recourante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(cf. ATF 142 II 161 consid. 2.3). Dès lors, il y a lieu de considérer que les craintes de la recourante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encore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(art. 28 par. 2 CDI-FR ; cf. ATF 147 II 13 consid. 3.4 ; 146 I 172 consid. 7.1.3 ; arrêt du TAF A-5522/2019 du 18 août 2020 consid. 3.4.3).</w:t>
      </w:r>
    </w:p>
    <w:p>
      <w:r>
        <w:rPr>
          <w:b/>
        </w:rPr>
        <w:t>E. 5.3.5</w:t>
      </w:r>
    </w:p>
    <w:p>
      <w:r>
        <w:t>En conséquence, le grief invoqué par la recourante doit être rejeté.</w:t>
      </w:r>
    </w:p>
    <w:p>
      <w:r>
        <w:rPr>
          <w:b/>
        </w:rPr>
        <w:t>E. 5.4.1</w:t>
      </w:r>
    </w:p>
    <w:p>
      <w:r>
        <w:t>Quant au grief relatif à la violation du principe de subsidiarité, la recourante invoque que l'Etat requérant a présenté dans un même document un état de fait général, sans aucune référence à des contrôles ou enquêtes en cours auprès de contribuables déterminés. Ainsi, les autorités françaises auraient été incapables de démontrer que, pour chaque demande individuelle, les sources habituelles de renseignement prévues par sa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sa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la recourante.</w:t>
      </w:r>
    </w:p>
    <w:p>
      <w:r>
        <w:rPr>
          <w:b/>
        </w:rPr>
        <w:t>E. 5.4.4</w:t>
      </w:r>
    </w:p>
    <w:p>
      <w:r>
        <w:t>Sur le vu de ce qui précède, le respect du principe de subsidiarité doit être considéré comme donné.</w:t>
      </w:r>
    </w:p>
    <w:p>
      <w:r>
        <w:rPr>
          <w:b/>
        </w:rPr>
        <w:t>E. 6.1</w:t>
      </w:r>
    </w:p>
    <w:p>
      <w:r>
        <w:t>Vu les considérants qui précèdent, le recours est rejeté. La recourante, qui succombe, doit supporter les frais de procédure, lesquels se montent, compte tenu de la charge de travail liée à la procédure, à 5'000 francs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